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C85C1" w14:textId="77777777" w:rsidR="00D063B7" w:rsidRPr="002A5015" w:rsidRDefault="00D063B7">
      <w:pPr>
        <w:spacing w:line="231" w:lineRule="exact"/>
        <w:rPr>
          <w:sz w:val="19"/>
          <w:szCs w:val="19"/>
          <w:lang w:val="es-ES"/>
        </w:rPr>
      </w:pPr>
    </w:p>
    <w:p w14:paraId="0B7425DE" w14:textId="77777777" w:rsidR="00D063B7" w:rsidRPr="002A5015" w:rsidRDefault="00D063B7">
      <w:pPr>
        <w:rPr>
          <w:sz w:val="2"/>
          <w:szCs w:val="2"/>
          <w:lang w:val="es-ES"/>
        </w:rPr>
        <w:sectPr w:rsidR="00D063B7" w:rsidRPr="002A5015">
          <w:pgSz w:w="11900" w:h="16840"/>
          <w:pgMar w:top="589" w:right="0" w:bottom="528" w:left="0" w:header="0" w:footer="3" w:gutter="0"/>
          <w:cols w:space="720"/>
          <w:noEndnote/>
          <w:docGrid w:linePitch="360"/>
        </w:sectPr>
      </w:pPr>
    </w:p>
    <w:p w14:paraId="01DD6695" w14:textId="5B256D66" w:rsidR="00D063B7" w:rsidRPr="002A5015" w:rsidRDefault="00D02653">
      <w:pPr>
        <w:pStyle w:val="Heading10"/>
        <w:keepNext/>
        <w:keepLines/>
        <w:shd w:val="clear" w:color="auto" w:fill="auto"/>
        <w:spacing w:after="1064" w:line="380" w:lineRule="exact"/>
        <w:rPr>
          <w:lang w:val="es-ES"/>
        </w:rPr>
      </w:pPr>
      <w:bookmarkStart w:id="0" w:name="bookmark0"/>
      <w:r w:rsidRPr="002A5015">
        <w:rPr>
          <w:rStyle w:val="Heading11"/>
          <w:lang w:val="es-ES"/>
        </w:rPr>
        <w:t>FARRER</w:t>
      </w:r>
      <w:r w:rsidR="00606F3B" w:rsidRPr="002A5015">
        <w:rPr>
          <w:rStyle w:val="Heading11"/>
          <w:lang w:val="es-ES"/>
        </w:rPr>
        <w:t xml:space="preserve"> </w:t>
      </w:r>
      <w:r w:rsidRPr="002A5015">
        <w:rPr>
          <w:rStyle w:val="Heading11"/>
          <w:lang w:val="es-ES"/>
        </w:rPr>
        <w:t>&amp;</w:t>
      </w:r>
      <w:r w:rsidR="00606F3B" w:rsidRPr="002A5015">
        <w:rPr>
          <w:rStyle w:val="Heading11"/>
          <w:lang w:val="es-ES"/>
        </w:rPr>
        <w:t xml:space="preserve"> </w:t>
      </w:r>
      <w:r w:rsidRPr="002A5015">
        <w:rPr>
          <w:rStyle w:val="Heading11"/>
          <w:lang w:val="es-ES"/>
        </w:rPr>
        <w:t>Co</w:t>
      </w:r>
      <w:bookmarkEnd w:id="0"/>
    </w:p>
    <w:p w14:paraId="25B506B2" w14:textId="77777777" w:rsidR="00D063B7" w:rsidRPr="002A5015" w:rsidRDefault="00D02653">
      <w:pPr>
        <w:pStyle w:val="Bodytext30"/>
        <w:shd w:val="clear" w:color="auto" w:fill="auto"/>
        <w:spacing w:before="0" w:after="220" w:line="180" w:lineRule="exact"/>
        <w:rPr>
          <w:color w:val="C45911" w:themeColor="accent2" w:themeShade="BF"/>
          <w:lang w:val="es-ES"/>
        </w:rPr>
      </w:pPr>
      <w:r w:rsidRPr="002A5015">
        <w:rPr>
          <w:rStyle w:val="Bodytext31"/>
          <w:b/>
          <w:bCs/>
          <w:color w:val="C45911" w:themeColor="accent2" w:themeShade="BF"/>
          <w:lang w:val="es-ES"/>
        </w:rPr>
        <w:t>INSIGHT</w:t>
      </w:r>
    </w:p>
    <w:p w14:paraId="2CCEA6B8" w14:textId="3402F134" w:rsidR="00D063B7" w:rsidRPr="002A5015" w:rsidRDefault="00D02653">
      <w:pPr>
        <w:pStyle w:val="Bodytext40"/>
        <w:shd w:val="clear" w:color="auto" w:fill="auto"/>
        <w:spacing w:before="0" w:after="364" w:line="280" w:lineRule="exact"/>
        <w:rPr>
          <w:lang w:val="es-ES"/>
        </w:rPr>
      </w:pPr>
      <w:r w:rsidRPr="002A5015">
        <w:rPr>
          <w:rStyle w:val="Bodytext41"/>
          <w:i/>
          <w:iCs/>
          <w:lang w:val="es-ES"/>
        </w:rPr>
        <w:t>De-banking</w:t>
      </w:r>
      <w:r w:rsidRPr="002A5015">
        <w:rPr>
          <w:rStyle w:val="Bodytext41"/>
          <w:lang w:val="es-ES"/>
        </w:rPr>
        <w:t xml:space="preserve">: </w:t>
      </w:r>
      <w:r w:rsidR="00A25A7F" w:rsidRPr="002A5015">
        <w:rPr>
          <w:rStyle w:val="Bodytext41"/>
          <w:lang w:val="es-ES"/>
        </w:rPr>
        <w:t>la amenaza oculta</w:t>
      </w:r>
    </w:p>
    <w:p w14:paraId="0EDEB956" w14:textId="77777777" w:rsidR="00D063B7" w:rsidRPr="002A5015" w:rsidRDefault="00D02653">
      <w:pPr>
        <w:pStyle w:val="Picturecaption0"/>
        <w:framePr w:h="5803" w:wrap="notBeside" w:vAnchor="text" w:hAnchor="text" w:xAlign="center" w:y="1"/>
        <w:shd w:val="clear" w:color="auto" w:fill="auto"/>
        <w:spacing w:line="180" w:lineRule="exact"/>
        <w:rPr>
          <w:color w:val="C45911" w:themeColor="accent2" w:themeShade="BF"/>
          <w:lang w:val="es-ES"/>
        </w:rPr>
      </w:pPr>
      <w:r w:rsidRPr="002A5015">
        <w:rPr>
          <w:rStyle w:val="Picturecaption1"/>
          <w:b/>
          <w:bCs/>
          <w:color w:val="C45911" w:themeColor="accent2" w:themeShade="BF"/>
          <w:lang w:val="es-ES"/>
        </w:rPr>
        <w:t>10.10.2023</w:t>
      </w:r>
    </w:p>
    <w:p w14:paraId="1178DF94" w14:textId="554F86D1" w:rsidR="00D063B7" w:rsidRPr="002A5015" w:rsidRDefault="0030746D">
      <w:pPr>
        <w:framePr w:h="5803" w:wrap="notBeside" w:vAnchor="text" w:hAnchor="text" w:xAlign="center" w:y="1"/>
        <w:jc w:val="center"/>
        <w:rPr>
          <w:sz w:val="2"/>
          <w:szCs w:val="2"/>
          <w:lang w:val="es-ES"/>
        </w:rPr>
      </w:pPr>
      <w:r>
        <w:rPr>
          <w:noProof/>
          <w:lang w:val="es-ES"/>
        </w:rPr>
        <w:drawing>
          <wp:inline distT="0" distB="0" distL="0" distR="0" wp14:anchorId="7B633A5E" wp14:editId="4BA6B3E0">
            <wp:extent cx="6543675" cy="3681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3675" cy="3681730"/>
                    </a:xfrm>
                    <a:prstGeom prst="rect">
                      <a:avLst/>
                    </a:prstGeom>
                    <a:noFill/>
                    <a:ln>
                      <a:noFill/>
                    </a:ln>
                  </pic:spPr>
                </pic:pic>
              </a:graphicData>
            </a:graphic>
          </wp:inline>
        </w:drawing>
      </w:r>
    </w:p>
    <w:p w14:paraId="6525E13E" w14:textId="77777777" w:rsidR="00D063B7" w:rsidRPr="002A5015" w:rsidRDefault="00D063B7">
      <w:pPr>
        <w:rPr>
          <w:sz w:val="2"/>
          <w:szCs w:val="2"/>
          <w:lang w:val="es-ES"/>
        </w:rPr>
      </w:pPr>
    </w:p>
    <w:p w14:paraId="793EF55D" w14:textId="79DDCC02" w:rsidR="00D063B7" w:rsidRPr="002A5015" w:rsidRDefault="007B68C2">
      <w:pPr>
        <w:pStyle w:val="Bodytext20"/>
        <w:shd w:val="clear" w:color="auto" w:fill="auto"/>
        <w:spacing w:before="341"/>
        <w:ind w:firstLine="0"/>
        <w:rPr>
          <w:lang w:val="es-ES"/>
        </w:rPr>
      </w:pPr>
      <w:r w:rsidRPr="002A5015">
        <w:rPr>
          <w:lang w:val="es-ES"/>
        </w:rPr>
        <w:t xml:space="preserve">No es la primera vez que Nigel Farage acapara la atención mediática: esta vez, ha anunciado que el banco privado Coutts, perteneciente al grupo NatWest, le ha </w:t>
      </w:r>
      <w:r w:rsidR="000D0772">
        <w:rPr>
          <w:lang w:val="es-ES"/>
        </w:rPr>
        <w:t xml:space="preserve">sometido a una acción de </w:t>
      </w:r>
      <w:r w:rsidR="000D0772" w:rsidRPr="000D0772">
        <w:rPr>
          <w:i/>
          <w:iCs/>
          <w:lang w:val="es-ES"/>
        </w:rPr>
        <w:t>de-banking</w:t>
      </w:r>
      <w:r w:rsidR="000D0772">
        <w:rPr>
          <w:lang w:val="es-ES"/>
        </w:rPr>
        <w:t xml:space="preserve">, es decir, le ha </w:t>
      </w:r>
      <w:r w:rsidRPr="002A5015">
        <w:rPr>
          <w:lang w:val="es-ES"/>
        </w:rPr>
        <w:t xml:space="preserve">retirado el acceso a sus servicios bancarios. El término </w:t>
      </w:r>
      <w:r w:rsidRPr="002A5015">
        <w:rPr>
          <w:i/>
          <w:iCs/>
          <w:lang w:val="es-ES"/>
        </w:rPr>
        <w:t>de</w:t>
      </w:r>
      <w:r w:rsidR="00C85936" w:rsidRPr="002A5015">
        <w:rPr>
          <w:i/>
          <w:iCs/>
          <w:lang w:val="es-ES"/>
        </w:rPr>
        <w:t>-</w:t>
      </w:r>
      <w:r w:rsidRPr="002A5015">
        <w:rPr>
          <w:i/>
          <w:iCs/>
          <w:lang w:val="es-ES"/>
        </w:rPr>
        <w:t>banking</w:t>
      </w:r>
      <w:r w:rsidRPr="002A5015">
        <w:rPr>
          <w:lang w:val="es-ES"/>
        </w:rPr>
        <w:t xml:space="preserve"> se utiliza cuando un banco o una institución financiera interrumpe unilateralmente su relación comercial con un cliente sin previo aviso. A nivel interno, los bancos califican esta decisión como </w:t>
      </w:r>
      <w:r w:rsidRPr="002A5015">
        <w:rPr>
          <w:i/>
          <w:iCs/>
          <w:lang w:val="es-ES"/>
        </w:rPr>
        <w:t>de-risking</w:t>
      </w:r>
      <w:r w:rsidRPr="002A5015">
        <w:rPr>
          <w:lang w:val="es-ES"/>
        </w:rPr>
        <w:t>.</w:t>
      </w:r>
    </w:p>
    <w:p w14:paraId="7F57FBEC" w14:textId="4AFCE3F0" w:rsidR="00D063B7" w:rsidRPr="002A5015" w:rsidRDefault="00C85936">
      <w:pPr>
        <w:pStyle w:val="Bodytext20"/>
        <w:shd w:val="clear" w:color="auto" w:fill="auto"/>
        <w:spacing w:before="0" w:after="421"/>
        <w:ind w:firstLine="0"/>
        <w:rPr>
          <w:lang w:val="es-ES"/>
        </w:rPr>
      </w:pPr>
      <w:r w:rsidRPr="002A5015">
        <w:rPr>
          <w:lang w:val="es-ES"/>
        </w:rPr>
        <w:t xml:space="preserve">La polémica de Farage ha puesto de manifiesto la tendencia de los bancos a retirar el acceso a sus servicios a personas que, por lo general, aunque no siempre, </w:t>
      </w:r>
      <w:r w:rsidR="002D5D5E" w:rsidRPr="002A5015">
        <w:rPr>
          <w:lang w:val="es-ES"/>
        </w:rPr>
        <w:t>poseen</w:t>
      </w:r>
      <w:r w:rsidRPr="002A5015">
        <w:rPr>
          <w:lang w:val="es-ES"/>
        </w:rPr>
        <w:t xml:space="preserve"> un alto poder adquisitivo (HNWI, por sus siglas en inglés) y defienden posturas políticas, sociales y personales que consideran inaceptables. En una época en la que es prácticamente imposible operar sin acceso a una cuenta bancaria, el </w:t>
      </w:r>
      <w:r w:rsidRPr="002A5015">
        <w:rPr>
          <w:i/>
          <w:iCs/>
          <w:lang w:val="es-ES"/>
        </w:rPr>
        <w:t>de</w:t>
      </w:r>
      <w:r w:rsidR="002D5D5E" w:rsidRPr="002A5015">
        <w:rPr>
          <w:i/>
          <w:iCs/>
          <w:lang w:val="es-ES"/>
        </w:rPr>
        <w:t>-</w:t>
      </w:r>
      <w:r w:rsidRPr="002A5015">
        <w:rPr>
          <w:i/>
          <w:iCs/>
          <w:lang w:val="es-ES"/>
        </w:rPr>
        <w:t>banking</w:t>
      </w:r>
      <w:r w:rsidRPr="002A5015">
        <w:rPr>
          <w:lang w:val="es-ES"/>
        </w:rPr>
        <w:t xml:space="preserve"> tiene consecuencias muy graves y constituye una penalización extrema, ya que no existe ningún proceso, justo o no, para impugnar la decisión.</w:t>
      </w:r>
    </w:p>
    <w:p w14:paraId="6D6898C6" w14:textId="01ADCC5C" w:rsidR="00D063B7" w:rsidRPr="002A5015" w:rsidRDefault="00157E8B">
      <w:pPr>
        <w:pStyle w:val="Heading20"/>
        <w:keepNext/>
        <w:keepLines/>
        <w:shd w:val="clear" w:color="auto" w:fill="auto"/>
        <w:spacing w:before="0" w:after="97" w:line="320" w:lineRule="exact"/>
        <w:rPr>
          <w:color w:val="C45911" w:themeColor="accent2" w:themeShade="BF"/>
          <w:lang w:val="es-ES"/>
        </w:rPr>
      </w:pPr>
      <w:r w:rsidRPr="002A5015">
        <w:rPr>
          <w:rStyle w:val="Heading21"/>
          <w:b/>
          <w:bCs/>
          <w:color w:val="C45911" w:themeColor="accent2" w:themeShade="BF"/>
          <w:lang w:val="es-ES"/>
        </w:rPr>
        <w:t>El auge de los procesos de cumplimiento</w:t>
      </w:r>
    </w:p>
    <w:p w14:paraId="667CFC4B" w14:textId="77777777" w:rsidR="00157E8B" w:rsidRPr="002A5015" w:rsidRDefault="00157E8B" w:rsidP="00157E8B">
      <w:pPr>
        <w:rPr>
          <w:rFonts w:ascii="Arial" w:eastAsia="Arial" w:hAnsi="Arial" w:cs="Arial"/>
          <w:sz w:val="22"/>
          <w:szCs w:val="22"/>
          <w:lang w:val="es-ES"/>
        </w:rPr>
      </w:pPr>
      <w:r w:rsidRPr="002A5015">
        <w:rPr>
          <w:rFonts w:ascii="Arial" w:eastAsia="Arial" w:hAnsi="Arial" w:cs="Arial"/>
          <w:sz w:val="22"/>
          <w:szCs w:val="22"/>
          <w:lang w:val="es-ES"/>
        </w:rPr>
        <w:t>Hace tiempo que los bancos se reservan el derecho de cerrar las cuentas de sus clientes. Esto sucede, por ejemplo, cuando hay indicios razonables de actividades ilícitas, blanqueo de capitales o financiación del terrorismo. Los bancos también cierran cuentas cuando se les ha proporcionado información falsa o en caso de que su personal haya sido objeto de algún tipo de abuso. Esto es, por supuesto, completamente comprensible.</w:t>
      </w:r>
    </w:p>
    <w:p w14:paraId="60B9D080" w14:textId="0E9A847B" w:rsidR="00D063B7" w:rsidRPr="002A5015" w:rsidRDefault="00D063B7">
      <w:pPr>
        <w:pStyle w:val="Bodytext20"/>
        <w:shd w:val="clear" w:color="auto" w:fill="auto"/>
        <w:spacing w:before="0" w:after="0"/>
        <w:ind w:firstLine="0"/>
        <w:rPr>
          <w:lang w:val="es-ES"/>
        </w:rPr>
      </w:pPr>
    </w:p>
    <w:p w14:paraId="53809FFB" w14:textId="6BAC09B8" w:rsidR="00D063B7" w:rsidRPr="00B70374" w:rsidRDefault="00890EE8">
      <w:pPr>
        <w:pStyle w:val="Bodytext20"/>
        <w:shd w:val="clear" w:color="auto" w:fill="auto"/>
        <w:spacing w:before="0" w:after="360"/>
        <w:ind w:firstLine="0"/>
        <w:rPr>
          <w:lang w:val="es-ES"/>
        </w:rPr>
      </w:pPr>
      <w:r w:rsidRPr="00B70374">
        <w:rPr>
          <w:lang w:val="es-ES"/>
        </w:rPr>
        <w:lastRenderedPageBreak/>
        <w:t xml:space="preserve">Sin embargo, a finales de la década de 2010, los bancos comenzaron a realizar comprobaciones rutinarias de diligencia debida sobre clientes HNWI, recurriendo a búsquedas en línea, proveedores de bases de datos e investigadores externos para reducir posibles daños a su reputación. </w:t>
      </w:r>
      <w:r w:rsidR="00B70374" w:rsidRPr="00B70374">
        <w:rPr>
          <w:lang w:val="es-ES"/>
        </w:rPr>
        <w:t>Era habitual que, oculta entre sus términos y condiciones, figurara una cláusula (que ahora parece haberse eliminado de la mayoría, sino de todos, los contratos de los bancos de consumo del Reino Unido) que establecía que el banco podía cerrar una cuenta si continuar con el servicio representaba un riesgo para su reputación; además, no estaba obligado a justificar su decisión</w:t>
      </w:r>
      <w:r w:rsidRPr="00B70374">
        <w:rPr>
          <w:lang w:val="es-ES"/>
        </w:rPr>
        <w:t>.</w:t>
      </w:r>
    </w:p>
    <w:p w14:paraId="08864617" w14:textId="5C6C30FB" w:rsidR="00D063B7" w:rsidRPr="002A5015" w:rsidRDefault="00134B8B">
      <w:pPr>
        <w:pStyle w:val="Bodytext20"/>
        <w:shd w:val="clear" w:color="auto" w:fill="auto"/>
        <w:spacing w:before="0" w:after="360"/>
        <w:ind w:firstLine="0"/>
        <w:rPr>
          <w:lang w:val="es-ES"/>
        </w:rPr>
      </w:pPr>
      <w:r w:rsidRPr="002A5015">
        <w:rPr>
          <w:lang w:val="es-ES"/>
        </w:rPr>
        <w:t xml:space="preserve">Aunque </w:t>
      </w:r>
      <w:r w:rsidR="00495B82">
        <w:rPr>
          <w:lang w:val="es-ES"/>
        </w:rPr>
        <w:t>hay</w:t>
      </w:r>
      <w:r w:rsidRPr="002A5015">
        <w:rPr>
          <w:lang w:val="es-ES"/>
        </w:rPr>
        <w:t xml:space="preserve"> un conjunto limitado de situaciones en las que un banco está legalmente obligado a no informar a un cliente sobre las razones por las que ha realizado una acción de </w:t>
      </w:r>
      <w:r w:rsidRPr="00EB186E">
        <w:rPr>
          <w:i/>
          <w:iCs/>
          <w:lang w:val="es-ES"/>
        </w:rPr>
        <w:t>de-risking</w:t>
      </w:r>
      <w:r w:rsidRPr="002A5015">
        <w:rPr>
          <w:lang w:val="es-ES"/>
        </w:rPr>
        <w:t xml:space="preserve">, el hecho de no dar explicaciones se ha convertido en una práctica </w:t>
      </w:r>
      <w:r w:rsidR="0057005E">
        <w:rPr>
          <w:lang w:val="es-ES"/>
        </w:rPr>
        <w:t>común</w:t>
      </w:r>
      <w:r w:rsidRPr="002A5015">
        <w:rPr>
          <w:lang w:val="es-ES"/>
        </w:rPr>
        <w:t>, independientemente de si el banco tiene la obligación legal de hacerlo o no.</w:t>
      </w:r>
    </w:p>
    <w:p w14:paraId="223B9508" w14:textId="471C00AD" w:rsidR="00D063B7" w:rsidRPr="002A5015" w:rsidRDefault="00ED70A2">
      <w:pPr>
        <w:pStyle w:val="Bodytext20"/>
        <w:shd w:val="clear" w:color="auto" w:fill="auto"/>
        <w:spacing w:before="0" w:after="481"/>
        <w:ind w:firstLine="0"/>
        <w:rPr>
          <w:lang w:val="es-ES"/>
        </w:rPr>
      </w:pPr>
      <w:r w:rsidRPr="002A5015">
        <w:rPr>
          <w:lang w:val="es-ES"/>
        </w:rPr>
        <w:t xml:space="preserve">A pesar de la eliminación de la cláusula relacionada con la reputación hace unos años, las prácticas de investigación de diligencia debida y cierre de cuentas bancarias sin que medien explicaciones ni procesos de impugnación siguen siendo frecuentes. En la actualidad, los bancos se apoyan en una serie de principios contractuales para cerrar cuentas, especialmente cuando existe el riesgo de que el cliente ponga al banco en una situación de infracción legal, incumplimiento de regulaciones, códigos u otras obligaciones, o cuando el mantenimiento de la cuenta pueda llevar al banco a recibir sanciones por parte de gobiernos, organismos reguladores o autoridades encargadas de hacer cumplir la ley. </w:t>
      </w:r>
      <w:r w:rsidR="00B657F8" w:rsidRPr="002A5015">
        <w:rPr>
          <w:lang w:val="es-ES"/>
        </w:rPr>
        <w:t>Se trata de una disposición lo suficientemente laxa y amplia como para que los bancos, en la práctica, dispongan de un amplio margen de discrecionalidad, especialmente cuando se niegan a justificar sus actuaciones</w:t>
      </w:r>
      <w:r w:rsidRPr="002A5015">
        <w:rPr>
          <w:lang w:val="es-ES"/>
        </w:rPr>
        <w:t>.</w:t>
      </w:r>
    </w:p>
    <w:p w14:paraId="62D121FB" w14:textId="1338DA9C" w:rsidR="00D063B7" w:rsidRPr="002A5015" w:rsidRDefault="00B657F8">
      <w:pPr>
        <w:pStyle w:val="Heading20"/>
        <w:keepNext/>
        <w:keepLines/>
        <w:shd w:val="clear" w:color="auto" w:fill="auto"/>
        <w:spacing w:before="0" w:after="92" w:line="320" w:lineRule="exact"/>
        <w:rPr>
          <w:color w:val="C45911" w:themeColor="accent2" w:themeShade="BF"/>
          <w:lang w:val="es-ES"/>
        </w:rPr>
      </w:pPr>
      <w:r w:rsidRPr="002A5015">
        <w:rPr>
          <w:rStyle w:val="Heading21"/>
          <w:b/>
          <w:bCs/>
          <w:color w:val="C45911" w:themeColor="accent2" w:themeShade="BF"/>
          <w:lang w:val="es-ES"/>
        </w:rPr>
        <w:t>Información errónea</w:t>
      </w:r>
    </w:p>
    <w:p w14:paraId="0C117E5E" w14:textId="77230643" w:rsidR="00D063B7" w:rsidRPr="002A5015" w:rsidRDefault="006B3683">
      <w:pPr>
        <w:pStyle w:val="Bodytext20"/>
        <w:shd w:val="clear" w:color="auto" w:fill="auto"/>
        <w:spacing w:before="0" w:after="360"/>
        <w:ind w:right="260" w:firstLine="0"/>
        <w:jc w:val="both"/>
        <w:rPr>
          <w:lang w:val="es-ES"/>
        </w:rPr>
      </w:pPr>
      <w:r w:rsidRPr="002A5015">
        <w:rPr>
          <w:lang w:val="es-ES"/>
        </w:rPr>
        <w:t xml:space="preserve">El problema que enfrentan los clientes es que los procesos de diligencia debida de los bancos a menudo presentan errores. Suelen asumir que la información que encuentran en Internet y la que aparece en los informes de las bases de datos es precisa, exhaustiva y actualizada. Sin embargo, esto no suele ser así. Después de muchos años </w:t>
      </w:r>
      <w:r w:rsidR="00F335DF" w:rsidRPr="002A5015">
        <w:rPr>
          <w:lang w:val="es-ES"/>
        </w:rPr>
        <w:t>en el sector</w:t>
      </w:r>
      <w:r w:rsidRPr="002A5015">
        <w:rPr>
          <w:lang w:val="es-ES"/>
        </w:rPr>
        <w:t>, podemos afirmar que los bancos no tienen en cuenta lo que leen, en parte porque carecen de los conocimientos necesarios para hacerlo.</w:t>
      </w:r>
    </w:p>
    <w:p w14:paraId="16298A02" w14:textId="5A8F9B62" w:rsidR="00D063B7" w:rsidRPr="002A5015" w:rsidRDefault="00137CE2">
      <w:pPr>
        <w:pStyle w:val="Bodytext20"/>
        <w:shd w:val="clear" w:color="auto" w:fill="auto"/>
        <w:spacing w:before="0" w:after="481"/>
        <w:ind w:right="260" w:firstLine="0"/>
        <w:jc w:val="both"/>
        <w:rPr>
          <w:lang w:val="es-ES"/>
        </w:rPr>
      </w:pPr>
      <w:r w:rsidRPr="002A5015">
        <w:rPr>
          <w:rStyle w:val="Bodytext21"/>
          <w:u w:val="none"/>
          <w:lang w:val="es-ES"/>
        </w:rPr>
        <w:t>Las bases de datos no son fiables porque elaboran sus informes a partir de fuentes en línea de acceso abierto. Ya hemos hablado</w:t>
      </w:r>
      <w:r w:rsidR="00F335DF" w:rsidRPr="002A5015">
        <w:rPr>
          <w:rStyle w:val="Bodytext21"/>
          <w:u w:val="none"/>
          <w:lang w:val="es-ES"/>
        </w:rPr>
        <w:t xml:space="preserve"> anteriormente</w:t>
      </w:r>
      <w:r w:rsidRPr="002A5015">
        <w:rPr>
          <w:rStyle w:val="Bodytext21"/>
          <w:u w:val="none"/>
          <w:lang w:val="es-ES"/>
        </w:rPr>
        <w:t xml:space="preserve"> de las </w:t>
      </w:r>
      <w:r w:rsidRPr="002A5015">
        <w:rPr>
          <w:rStyle w:val="Bodytext21"/>
          <w:lang w:val="es-ES"/>
        </w:rPr>
        <w:t>medidas que puede tomar si figura en una de estas bases de datos.</w:t>
      </w:r>
    </w:p>
    <w:p w14:paraId="52A0287F" w14:textId="63D5B8D3" w:rsidR="00D063B7" w:rsidRPr="002A5015" w:rsidRDefault="009720E9">
      <w:pPr>
        <w:pStyle w:val="Heading20"/>
        <w:keepNext/>
        <w:keepLines/>
        <w:shd w:val="clear" w:color="auto" w:fill="auto"/>
        <w:spacing w:before="0" w:after="92" w:line="320" w:lineRule="exact"/>
        <w:rPr>
          <w:color w:val="C45911" w:themeColor="accent2" w:themeShade="BF"/>
          <w:lang w:val="es-ES"/>
        </w:rPr>
      </w:pPr>
      <w:r w:rsidRPr="002A5015">
        <w:rPr>
          <w:rStyle w:val="Heading21"/>
          <w:b/>
          <w:bCs/>
          <w:color w:val="C45911" w:themeColor="accent2" w:themeShade="BF"/>
          <w:lang w:val="es-ES"/>
        </w:rPr>
        <w:t>Reputación: el activo invisible</w:t>
      </w:r>
    </w:p>
    <w:p w14:paraId="653E6BB2" w14:textId="69E303C0" w:rsidR="00D063B7" w:rsidRPr="002A5015" w:rsidRDefault="00137CE2">
      <w:pPr>
        <w:pStyle w:val="Bodytext20"/>
        <w:shd w:val="clear" w:color="auto" w:fill="auto"/>
        <w:spacing w:before="0" w:after="360"/>
        <w:ind w:firstLine="0"/>
        <w:rPr>
          <w:lang w:val="es-ES"/>
        </w:rPr>
      </w:pPr>
      <w:r w:rsidRPr="002A5015">
        <w:rPr>
          <w:lang w:val="es-ES"/>
        </w:rPr>
        <w:t xml:space="preserve">El </w:t>
      </w:r>
      <w:r w:rsidRPr="002A5015">
        <w:rPr>
          <w:i/>
          <w:iCs/>
          <w:lang w:val="es-ES"/>
        </w:rPr>
        <w:t>de-banking</w:t>
      </w:r>
      <w:r w:rsidRPr="002A5015">
        <w:rPr>
          <w:lang w:val="es-ES"/>
        </w:rPr>
        <w:t xml:space="preserve"> acarrea consecuencias nefastas tanto para los HNWI como para las empresas. Dificulta actividades rutinarias como el pago de facturas, la transferencia de fondos o el cobro de salarios; además, entorpece las operaciones empresariales cotidianas y frena el desarrollo del comercio internacional.</w:t>
      </w:r>
    </w:p>
    <w:p w14:paraId="26B68A85" w14:textId="3BD32ECC" w:rsidR="00D063B7" w:rsidRPr="002A5015" w:rsidRDefault="00857D4A">
      <w:pPr>
        <w:pStyle w:val="Bodytext20"/>
        <w:shd w:val="clear" w:color="auto" w:fill="auto"/>
        <w:spacing w:before="0" w:after="360"/>
        <w:ind w:firstLine="0"/>
        <w:rPr>
          <w:lang w:val="es-ES"/>
        </w:rPr>
      </w:pPr>
      <w:r w:rsidRPr="002A5015">
        <w:rPr>
          <w:lang w:val="es-ES"/>
        </w:rPr>
        <w:t>Mientras el debate continúa, sus implicaciones inmediatas nos ofrecen una lección crucial sobre la importancia del activo invisible, a menudo ignorado, que es la reputación financiera. Los HNWI se enfrentan a consecuencias como la reducción del acceso a productos financieros competitivos hasta la cautela de los inversores, junto con el escrutinio por parte de reguladores y autoridades fiscales. Es evidente que la situación de Farage refuerza la idea de que preservar la reputación financiera es tan vital para la riqueza como la gestión de los activos tangibles.</w:t>
      </w:r>
    </w:p>
    <w:p w14:paraId="43ECD7A6" w14:textId="3D1B65D4" w:rsidR="00D063B7" w:rsidRPr="002A5015" w:rsidRDefault="00857D4A">
      <w:pPr>
        <w:pStyle w:val="Bodytext20"/>
        <w:shd w:val="clear" w:color="auto" w:fill="auto"/>
        <w:spacing w:before="0" w:after="0"/>
        <w:ind w:firstLine="0"/>
        <w:rPr>
          <w:lang w:val="es-ES"/>
        </w:rPr>
      </w:pPr>
      <w:r w:rsidRPr="002A5015">
        <w:rPr>
          <w:lang w:val="es-ES"/>
        </w:rPr>
        <w:lastRenderedPageBreak/>
        <w:t xml:space="preserve">La riqueza personal y la reputación profesional están estrechamente ligadas. Una gestión financiera poco ética y transparente, ya sea deliberada o involuntaria, puede ocasionar graves pérdidas de prestigio tanto a nivel personal como profesional. En el caso de que se perciban irregularidades financieras en su contra, incluso la persona más respetada puede encontrarse inmersa en una vorágine de interrogantes </w:t>
      </w:r>
      <w:r w:rsidR="009720E9" w:rsidRPr="002A5015">
        <w:rPr>
          <w:lang w:val="es-ES"/>
        </w:rPr>
        <w:t>y observar cómo su imagen ante la opinión pública se deteriora.</w:t>
      </w:r>
    </w:p>
    <w:p w14:paraId="6449A032" w14:textId="77777777" w:rsidR="00606F3B" w:rsidRPr="002A5015" w:rsidRDefault="00606F3B">
      <w:pPr>
        <w:pStyle w:val="Heading20"/>
        <w:keepNext/>
        <w:keepLines/>
        <w:shd w:val="clear" w:color="auto" w:fill="auto"/>
        <w:spacing w:before="0" w:after="97" w:line="320" w:lineRule="exact"/>
        <w:rPr>
          <w:rStyle w:val="Heading21"/>
          <w:b/>
          <w:bCs/>
          <w:lang w:val="es-ES"/>
        </w:rPr>
      </w:pPr>
      <w:bookmarkStart w:id="1" w:name="bookmark4"/>
    </w:p>
    <w:bookmarkEnd w:id="1"/>
    <w:p w14:paraId="7019D225" w14:textId="2A062D2D" w:rsidR="00D063B7" w:rsidRPr="002A5015" w:rsidRDefault="0032318A">
      <w:pPr>
        <w:pStyle w:val="Heading20"/>
        <w:keepNext/>
        <w:keepLines/>
        <w:shd w:val="clear" w:color="auto" w:fill="auto"/>
        <w:spacing w:before="0" w:after="97" w:line="320" w:lineRule="exact"/>
        <w:rPr>
          <w:color w:val="C45911" w:themeColor="accent2" w:themeShade="BF"/>
          <w:lang w:val="es-ES"/>
        </w:rPr>
      </w:pPr>
      <w:r w:rsidRPr="002A5015">
        <w:rPr>
          <w:color w:val="C45911" w:themeColor="accent2" w:themeShade="BF"/>
          <w:lang w:val="es-ES"/>
        </w:rPr>
        <w:t xml:space="preserve">Recursos para los afectados por el </w:t>
      </w:r>
      <w:r w:rsidRPr="002A5015">
        <w:rPr>
          <w:i/>
          <w:iCs/>
          <w:color w:val="C45911" w:themeColor="accent2" w:themeShade="BF"/>
          <w:lang w:val="es-ES"/>
        </w:rPr>
        <w:t>de-banking</w:t>
      </w:r>
    </w:p>
    <w:p w14:paraId="299FC34A" w14:textId="309D5E4F" w:rsidR="00D063B7" w:rsidRPr="002A5015" w:rsidRDefault="0032318A">
      <w:pPr>
        <w:pStyle w:val="Bodytext20"/>
        <w:shd w:val="clear" w:color="auto" w:fill="auto"/>
        <w:spacing w:before="0" w:after="449"/>
        <w:ind w:firstLine="0"/>
        <w:rPr>
          <w:lang w:val="es-ES"/>
        </w:rPr>
      </w:pPr>
      <w:r w:rsidRPr="002A5015">
        <w:rPr>
          <w:lang w:val="es-ES"/>
        </w:rPr>
        <w:t xml:space="preserve">Enfrentarse a </w:t>
      </w:r>
      <w:r w:rsidR="00055998">
        <w:rPr>
          <w:lang w:val="es-ES"/>
        </w:rPr>
        <w:t>una acción</w:t>
      </w:r>
      <w:r w:rsidRPr="002A5015">
        <w:rPr>
          <w:lang w:val="es-ES"/>
        </w:rPr>
        <w:t xml:space="preserve"> </w:t>
      </w:r>
      <w:r w:rsidRPr="002A5015">
        <w:rPr>
          <w:i/>
          <w:iCs/>
          <w:lang w:val="es-ES"/>
        </w:rPr>
        <w:t>de-banking</w:t>
      </w:r>
      <w:r w:rsidRPr="002A5015">
        <w:rPr>
          <w:lang w:val="es-ES"/>
        </w:rPr>
        <w:t xml:space="preserve"> puede ser desalentador. </w:t>
      </w:r>
      <w:r w:rsidR="009F6743" w:rsidRPr="002A5015">
        <w:rPr>
          <w:lang w:val="es-ES"/>
        </w:rPr>
        <w:t xml:space="preserve">Sin embargo, tanto particulares como empresas cuentan con recursos para hacer frente a </w:t>
      </w:r>
      <w:r w:rsidR="00055998">
        <w:rPr>
          <w:lang w:val="es-ES"/>
        </w:rPr>
        <w:t>esta decisión</w:t>
      </w:r>
      <w:r w:rsidR="009F6743" w:rsidRPr="002A5015">
        <w:rPr>
          <w:lang w:val="es-ES"/>
        </w:rPr>
        <w:t xml:space="preserve"> o </w:t>
      </w:r>
      <w:r w:rsidR="00055998">
        <w:rPr>
          <w:lang w:val="es-ES"/>
        </w:rPr>
        <w:t>mitigar</w:t>
      </w:r>
      <w:r w:rsidR="009F6743" w:rsidRPr="002A5015">
        <w:rPr>
          <w:lang w:val="es-ES"/>
        </w:rPr>
        <w:t xml:space="preserve"> sus consecuencias</w:t>
      </w:r>
      <w:r w:rsidRPr="002A5015">
        <w:rPr>
          <w:lang w:val="es-ES"/>
        </w:rPr>
        <w:t>.</w:t>
      </w:r>
    </w:p>
    <w:p w14:paraId="7113AC72" w14:textId="70536248" w:rsidR="00D063B7" w:rsidRPr="002A5015" w:rsidRDefault="0032318A">
      <w:pPr>
        <w:pStyle w:val="Heading30"/>
        <w:keepNext/>
        <w:keepLines/>
        <w:shd w:val="clear" w:color="auto" w:fill="auto"/>
        <w:spacing w:before="0" w:after="109" w:line="210" w:lineRule="exact"/>
        <w:rPr>
          <w:color w:val="C45911" w:themeColor="accent2" w:themeShade="BF"/>
          <w:lang w:val="es-ES"/>
        </w:rPr>
      </w:pPr>
      <w:r w:rsidRPr="002A5015">
        <w:rPr>
          <w:rStyle w:val="Heading31"/>
          <w:b/>
          <w:bCs/>
          <w:color w:val="C45911" w:themeColor="accent2" w:themeShade="BF"/>
          <w:lang w:val="es-ES"/>
        </w:rPr>
        <w:t>Recurrir a la vía legal</w:t>
      </w:r>
    </w:p>
    <w:p w14:paraId="1ACB84F5" w14:textId="1F2DCE1D" w:rsidR="00D063B7" w:rsidRPr="002A5015" w:rsidRDefault="007D5557">
      <w:pPr>
        <w:pStyle w:val="Bodytext20"/>
        <w:shd w:val="clear" w:color="auto" w:fill="auto"/>
        <w:spacing w:before="0" w:after="449"/>
        <w:ind w:firstLine="0"/>
        <w:rPr>
          <w:lang w:val="es-ES"/>
        </w:rPr>
      </w:pPr>
      <w:r w:rsidRPr="002A5015">
        <w:rPr>
          <w:lang w:val="es-ES"/>
        </w:rPr>
        <w:t xml:space="preserve">Aunque es posible impugnar la decisión de un banco alegando incumplimiento de contrato o discriminación (por ejemplo, si se cierra una cuenta a causa de las opiniones políticas de una persona), la realidad es que, en la práctica, las acciones legales entabladas contra un banco no suelen prosperar. Es más, generalmente los bancos no reconocen que una cuenta se ha cerrado de forma incorrecta y se muestran reacios a dar información sobre los motivos del cierre, aunque en los términos establecidos se indique lo contrario. En todo caso, optar por esta alternativa implicará una importante inversión de recursos financieros, jurídicos y tiempo. Por otro lado, </w:t>
      </w:r>
      <w:r w:rsidR="003A24BD" w:rsidRPr="002A5015">
        <w:rPr>
          <w:lang w:val="es-ES"/>
        </w:rPr>
        <w:t xml:space="preserve">apostar por un banco distinto </w:t>
      </w:r>
      <w:r w:rsidRPr="002A5015">
        <w:rPr>
          <w:lang w:val="es-ES"/>
        </w:rPr>
        <w:t>resultará más práctico y</w:t>
      </w:r>
      <w:r w:rsidR="003A24BD" w:rsidRPr="002A5015">
        <w:rPr>
          <w:lang w:val="es-ES"/>
        </w:rPr>
        <w:t xml:space="preserve"> productivo.</w:t>
      </w:r>
    </w:p>
    <w:p w14:paraId="0CB86214" w14:textId="77777777" w:rsidR="00D063B7" w:rsidRPr="002A5015" w:rsidRDefault="00D02653">
      <w:pPr>
        <w:pStyle w:val="Heading30"/>
        <w:keepNext/>
        <w:keepLines/>
        <w:shd w:val="clear" w:color="auto" w:fill="auto"/>
        <w:spacing w:before="0" w:after="114" w:line="210" w:lineRule="exact"/>
        <w:rPr>
          <w:color w:val="C45911" w:themeColor="accent2" w:themeShade="BF"/>
          <w:lang w:val="es-ES"/>
        </w:rPr>
      </w:pPr>
      <w:bookmarkStart w:id="2" w:name="bookmark6"/>
      <w:r w:rsidRPr="002A5015">
        <w:rPr>
          <w:rStyle w:val="Heading31"/>
          <w:b/>
          <w:bCs/>
          <w:color w:val="C45911" w:themeColor="accent2" w:themeShade="BF"/>
          <w:lang w:val="es-ES"/>
        </w:rPr>
        <w:t>Financial Ombudsman</w:t>
      </w:r>
      <w:bookmarkEnd w:id="2"/>
    </w:p>
    <w:p w14:paraId="18976027" w14:textId="61395436" w:rsidR="00D063B7" w:rsidRPr="002A5015" w:rsidRDefault="00523F90">
      <w:pPr>
        <w:pStyle w:val="Bodytext20"/>
        <w:shd w:val="clear" w:color="auto" w:fill="auto"/>
        <w:spacing w:before="0" w:after="449"/>
        <w:ind w:firstLine="0"/>
        <w:rPr>
          <w:lang w:val="es-ES"/>
        </w:rPr>
      </w:pPr>
      <w:r w:rsidRPr="002A5015">
        <w:rPr>
          <w:lang w:val="es-ES"/>
        </w:rPr>
        <w:t xml:space="preserve">Los clientes que consideren que sus cuentas bancarias han sido cerradas injustamente tienen derecho a presentar una queja ante el Financial Ombudsman. Mediante este organismo pueden entablarse procedimientos de resolución de conflictos que suelen involucrar negociaciones o mediaciones y que, en muchos casos, conducen a la revocación de la acción de </w:t>
      </w:r>
      <w:r w:rsidRPr="002A5015">
        <w:rPr>
          <w:i/>
          <w:iCs/>
          <w:lang w:val="es-ES"/>
        </w:rPr>
        <w:t>de-banking</w:t>
      </w:r>
      <w:r w:rsidRPr="002A5015">
        <w:rPr>
          <w:lang w:val="es-ES"/>
        </w:rPr>
        <w:t>. Sin embargo, la eficacia de las actuaciones y el tiempo que requiere resolver el problema por esta vía suscitan grandes dudas sobre esta figura.</w:t>
      </w:r>
    </w:p>
    <w:p w14:paraId="02506534" w14:textId="16173EF9" w:rsidR="00D063B7" w:rsidRPr="002A5015" w:rsidRDefault="00815263">
      <w:pPr>
        <w:pStyle w:val="Heading30"/>
        <w:keepNext/>
        <w:keepLines/>
        <w:shd w:val="clear" w:color="auto" w:fill="auto"/>
        <w:spacing w:before="0" w:after="115" w:line="210" w:lineRule="exact"/>
        <w:rPr>
          <w:color w:val="C45911" w:themeColor="accent2" w:themeShade="BF"/>
          <w:lang w:val="es-ES"/>
        </w:rPr>
      </w:pPr>
      <w:r w:rsidRPr="002A5015">
        <w:rPr>
          <w:rStyle w:val="Heading31"/>
          <w:b/>
          <w:bCs/>
          <w:color w:val="C45911" w:themeColor="accent2" w:themeShade="BF"/>
          <w:lang w:val="es-ES"/>
        </w:rPr>
        <w:t>Proveedores especializados</w:t>
      </w:r>
    </w:p>
    <w:p w14:paraId="614735BC" w14:textId="40322564" w:rsidR="00D063B7" w:rsidRPr="002A5015" w:rsidRDefault="00815263">
      <w:pPr>
        <w:pStyle w:val="Bodytext20"/>
        <w:shd w:val="clear" w:color="auto" w:fill="auto"/>
        <w:spacing w:before="0" w:after="453" w:line="326" w:lineRule="exact"/>
        <w:ind w:right="220" w:firstLine="0"/>
        <w:jc w:val="both"/>
        <w:rPr>
          <w:lang w:val="es-ES"/>
        </w:rPr>
      </w:pPr>
      <w:r w:rsidRPr="002A5015">
        <w:rPr>
          <w:lang w:val="es-ES"/>
        </w:rPr>
        <w:t>Existen instituciones financieras especializadas en brindar servicios a HNWI y personas políticamente expuestas, con un enfoque particular en comprender sus necesidades específicas y ofrecer servicios especializados. De esta manera, las probabilidades de tomar una decisión adversa disminuyen.</w:t>
      </w:r>
    </w:p>
    <w:p w14:paraId="03E54FD5" w14:textId="635FCE60" w:rsidR="00D063B7" w:rsidRPr="002A5015" w:rsidRDefault="00815263">
      <w:pPr>
        <w:pStyle w:val="Heading30"/>
        <w:keepNext/>
        <w:keepLines/>
        <w:shd w:val="clear" w:color="auto" w:fill="auto"/>
        <w:spacing w:before="0" w:after="110" w:line="210" w:lineRule="exact"/>
        <w:rPr>
          <w:color w:val="C45911" w:themeColor="accent2" w:themeShade="BF"/>
          <w:lang w:val="es-ES"/>
        </w:rPr>
      </w:pPr>
      <w:r w:rsidRPr="002A5015">
        <w:rPr>
          <w:rStyle w:val="Heading31"/>
          <w:b/>
          <w:bCs/>
          <w:color w:val="C45911" w:themeColor="accent2" w:themeShade="BF"/>
          <w:lang w:val="es-ES"/>
        </w:rPr>
        <w:t>Servicios bancarios alternativos</w:t>
      </w:r>
    </w:p>
    <w:p w14:paraId="0F346364" w14:textId="7E494310" w:rsidR="00D063B7" w:rsidRPr="002A5015" w:rsidRDefault="002C641E">
      <w:pPr>
        <w:pStyle w:val="Bodytext20"/>
        <w:shd w:val="clear" w:color="auto" w:fill="auto"/>
        <w:spacing w:before="0" w:after="453" w:line="326" w:lineRule="exact"/>
        <w:ind w:firstLine="0"/>
        <w:rPr>
          <w:lang w:val="es-ES"/>
        </w:rPr>
      </w:pPr>
      <w:r w:rsidRPr="002A5015">
        <w:rPr>
          <w:lang w:val="es-ES"/>
        </w:rPr>
        <w:t xml:space="preserve">Tanto individuos como empresas pueden aprovechar el creciente mercado de la tecnología financiera. Los bancos en línea, los servicios de pago y las plataformas de criptomonedas imponen requisitos menos estrictos y pueden ofrecer un respiro a aquellos afectados por el </w:t>
      </w:r>
      <w:r w:rsidRPr="002A5015">
        <w:rPr>
          <w:i/>
          <w:iCs/>
          <w:lang w:val="es-ES"/>
        </w:rPr>
        <w:t>de-banking</w:t>
      </w:r>
      <w:r w:rsidRPr="002A5015">
        <w:rPr>
          <w:lang w:val="es-ES"/>
        </w:rPr>
        <w:t>.</w:t>
      </w:r>
    </w:p>
    <w:p w14:paraId="67D5B1F7" w14:textId="016C639E" w:rsidR="00D063B7" w:rsidRPr="002A5015" w:rsidRDefault="00A90CFA">
      <w:pPr>
        <w:pStyle w:val="Heading30"/>
        <w:keepNext/>
        <w:keepLines/>
        <w:shd w:val="clear" w:color="auto" w:fill="auto"/>
        <w:spacing w:before="0" w:after="114" w:line="210" w:lineRule="exact"/>
        <w:rPr>
          <w:color w:val="C45911" w:themeColor="accent2" w:themeShade="BF"/>
          <w:lang w:val="es-ES"/>
        </w:rPr>
      </w:pPr>
      <w:r w:rsidRPr="002A5015">
        <w:rPr>
          <w:rStyle w:val="Heading31"/>
          <w:b/>
          <w:bCs/>
          <w:color w:val="C45911" w:themeColor="accent2" w:themeShade="BF"/>
          <w:lang w:val="es-ES"/>
        </w:rPr>
        <w:t>Solucionar el problema de fondo</w:t>
      </w:r>
    </w:p>
    <w:p w14:paraId="0C194B3E" w14:textId="5D60B5A7" w:rsidR="00D063B7" w:rsidRPr="002A5015" w:rsidRDefault="002C641E">
      <w:pPr>
        <w:pStyle w:val="Bodytext20"/>
        <w:shd w:val="clear" w:color="auto" w:fill="auto"/>
        <w:spacing w:before="0" w:after="449"/>
        <w:ind w:firstLine="0"/>
        <w:rPr>
          <w:lang w:val="es-ES"/>
        </w:rPr>
      </w:pPr>
      <w:r w:rsidRPr="002A5015">
        <w:rPr>
          <w:lang w:val="es-ES"/>
        </w:rPr>
        <w:t xml:space="preserve">Cuando sea posible, lo más sensato es abordar directamente el problema que ha llevado al banco a tomar su decisión. Esto </w:t>
      </w:r>
      <w:r w:rsidR="005F431A" w:rsidRPr="002A5015">
        <w:rPr>
          <w:lang w:val="es-ES"/>
        </w:rPr>
        <w:t xml:space="preserve">pasa por </w:t>
      </w:r>
      <w:r w:rsidRPr="002A5015">
        <w:rPr>
          <w:lang w:val="es-ES"/>
        </w:rPr>
        <w:t xml:space="preserve">comprender </w:t>
      </w:r>
      <w:r w:rsidR="005F431A" w:rsidRPr="002A5015">
        <w:rPr>
          <w:lang w:val="es-ES"/>
        </w:rPr>
        <w:t xml:space="preserve">en qué radica el mismo </w:t>
      </w:r>
      <w:r w:rsidRPr="002A5015">
        <w:rPr>
          <w:lang w:val="es-ES"/>
        </w:rPr>
        <w:t>(algo evidente en algunos casos) para que, una vez identificado, pueda solucionarse o mitigarse a través de recursos en línea o con la ayuda de proveedores de bases de datos. Este enfoque puede implicar trabajar con distintos especialistas, como investigadores, expertos en comunicación y optimización de motores de búsqueda, para mejorar el perfil de la persona o empresa afectada.</w:t>
      </w:r>
    </w:p>
    <w:p w14:paraId="41683C53" w14:textId="48D3FEF1" w:rsidR="00D063B7" w:rsidRPr="002A5015" w:rsidRDefault="00A90CFA">
      <w:pPr>
        <w:pStyle w:val="Heading30"/>
        <w:keepNext/>
        <w:keepLines/>
        <w:shd w:val="clear" w:color="auto" w:fill="auto"/>
        <w:spacing w:before="0" w:after="114" w:line="210" w:lineRule="exact"/>
        <w:rPr>
          <w:color w:val="C45911" w:themeColor="accent2" w:themeShade="BF"/>
          <w:lang w:val="es-ES"/>
        </w:rPr>
      </w:pPr>
      <w:r w:rsidRPr="002A5015">
        <w:rPr>
          <w:rStyle w:val="Heading31"/>
          <w:b/>
          <w:bCs/>
          <w:color w:val="C45911" w:themeColor="accent2" w:themeShade="BF"/>
          <w:lang w:val="es-ES"/>
        </w:rPr>
        <w:lastRenderedPageBreak/>
        <w:t>Cartas de patrocinio</w:t>
      </w:r>
    </w:p>
    <w:p w14:paraId="56DF1BD6" w14:textId="4EC048C3" w:rsidR="00D063B7" w:rsidRPr="002A5015" w:rsidRDefault="00A90CFA">
      <w:pPr>
        <w:pStyle w:val="Bodytext20"/>
        <w:shd w:val="clear" w:color="auto" w:fill="auto"/>
        <w:spacing w:before="0" w:after="421"/>
        <w:ind w:firstLine="0"/>
        <w:rPr>
          <w:lang w:val="es-ES"/>
        </w:rPr>
      </w:pPr>
      <w:r w:rsidRPr="002A5015">
        <w:rPr>
          <w:lang w:val="es-ES"/>
        </w:rPr>
        <w:t>Con frecuencia, se nos solicita que proporcionemos explicaciones a las instituciones financieras sobre por qué no deberían creer todo lo que leen sobre un cliente. Este paso suele ser crucial al solicitar la apertura de una nueva cuenta, pero antes de poder emitir legítimamente una carta de este tipo, necesitamos realizar una serie de averiguaciones.</w:t>
      </w:r>
    </w:p>
    <w:p w14:paraId="483BB8DC" w14:textId="42C6541C" w:rsidR="00D063B7" w:rsidRPr="002A5015" w:rsidRDefault="00396453">
      <w:pPr>
        <w:pStyle w:val="Heading20"/>
        <w:keepNext/>
        <w:keepLines/>
        <w:shd w:val="clear" w:color="auto" w:fill="auto"/>
        <w:spacing w:before="0" w:after="0" w:line="320" w:lineRule="exact"/>
        <w:rPr>
          <w:color w:val="C45911" w:themeColor="accent2" w:themeShade="BF"/>
          <w:lang w:val="es-ES"/>
        </w:rPr>
      </w:pPr>
      <w:bookmarkStart w:id="3" w:name="bookmark11"/>
      <w:r w:rsidRPr="002A5015">
        <w:rPr>
          <w:rStyle w:val="Heading21"/>
          <w:b/>
          <w:bCs/>
          <w:color w:val="C45911" w:themeColor="accent2" w:themeShade="BF"/>
          <w:lang w:val="es-ES"/>
        </w:rPr>
        <w:t>Proteger</w:t>
      </w:r>
      <w:r w:rsidR="00F44CFB" w:rsidRPr="002A5015">
        <w:rPr>
          <w:rStyle w:val="Heading21"/>
          <w:b/>
          <w:bCs/>
          <w:color w:val="C45911" w:themeColor="accent2" w:themeShade="BF"/>
          <w:lang w:val="es-ES"/>
        </w:rPr>
        <w:t xml:space="preserve">, </w:t>
      </w:r>
      <w:r w:rsidRPr="002A5015">
        <w:rPr>
          <w:rStyle w:val="Heading21"/>
          <w:b/>
          <w:bCs/>
          <w:color w:val="C45911" w:themeColor="accent2" w:themeShade="BF"/>
          <w:lang w:val="es-ES"/>
        </w:rPr>
        <w:t>preservar</w:t>
      </w:r>
      <w:r w:rsidR="00F44CFB" w:rsidRPr="002A5015">
        <w:rPr>
          <w:rStyle w:val="Heading21"/>
          <w:b/>
          <w:bCs/>
          <w:color w:val="C45911" w:themeColor="accent2" w:themeShade="BF"/>
          <w:lang w:val="es-ES"/>
        </w:rPr>
        <w:t xml:space="preserve"> y </w:t>
      </w:r>
      <w:r w:rsidR="00337024" w:rsidRPr="002A5015">
        <w:rPr>
          <w:rStyle w:val="Heading21"/>
          <w:b/>
          <w:bCs/>
          <w:color w:val="C45911" w:themeColor="accent2" w:themeShade="BF"/>
          <w:lang w:val="es-ES"/>
        </w:rPr>
        <w:t>fortalecer</w:t>
      </w:r>
      <w:r w:rsidR="00F44CFB" w:rsidRPr="002A5015">
        <w:rPr>
          <w:rStyle w:val="Heading21"/>
          <w:b/>
          <w:bCs/>
          <w:color w:val="C45911" w:themeColor="accent2" w:themeShade="BF"/>
          <w:lang w:val="es-ES"/>
        </w:rPr>
        <w:t xml:space="preserve"> la reputación financiera</w:t>
      </w:r>
      <w:bookmarkEnd w:id="3"/>
    </w:p>
    <w:p w14:paraId="5201C200" w14:textId="77777777" w:rsidR="00606F3B" w:rsidRPr="002A5015" w:rsidRDefault="00606F3B">
      <w:pPr>
        <w:pStyle w:val="Bodytext20"/>
        <w:shd w:val="clear" w:color="auto" w:fill="auto"/>
        <w:spacing w:before="0" w:after="73" w:line="220" w:lineRule="exact"/>
        <w:ind w:firstLine="0"/>
        <w:rPr>
          <w:lang w:val="es-ES"/>
        </w:rPr>
      </w:pPr>
    </w:p>
    <w:p w14:paraId="5B518960" w14:textId="194B3C04" w:rsidR="00D063B7" w:rsidRPr="002A5015" w:rsidRDefault="00F44CFB">
      <w:pPr>
        <w:pStyle w:val="Bodytext20"/>
        <w:shd w:val="clear" w:color="auto" w:fill="auto"/>
        <w:spacing w:before="0" w:after="347" w:line="220" w:lineRule="exact"/>
        <w:ind w:firstLine="0"/>
        <w:rPr>
          <w:lang w:val="es-ES"/>
        </w:rPr>
      </w:pPr>
      <w:r w:rsidRPr="002A5015">
        <w:rPr>
          <w:lang w:val="es-ES"/>
        </w:rPr>
        <w:t>Entonces, ¿cómo pueden los HNWI protegerse de una suerte similar? La respuesta se encuentra en tres puntos estrechamente relacionados entre sí:</w:t>
      </w:r>
    </w:p>
    <w:p w14:paraId="621013D8" w14:textId="7DBAF629" w:rsidR="00D063B7" w:rsidRPr="002A5015" w:rsidRDefault="005B5CA6" w:rsidP="009971C7">
      <w:pPr>
        <w:pStyle w:val="Bodytext20"/>
        <w:numPr>
          <w:ilvl w:val="0"/>
          <w:numId w:val="1"/>
        </w:numPr>
        <w:shd w:val="clear" w:color="auto" w:fill="auto"/>
        <w:tabs>
          <w:tab w:val="left" w:pos="246"/>
        </w:tabs>
        <w:spacing w:before="0" w:after="120"/>
        <w:ind w:left="300"/>
        <w:rPr>
          <w:lang w:val="es-ES"/>
        </w:rPr>
      </w:pPr>
      <w:r w:rsidRPr="002A5015">
        <w:rPr>
          <w:lang w:val="es-ES"/>
        </w:rPr>
        <w:t xml:space="preserve"> </w:t>
      </w:r>
      <w:r w:rsidR="009971C7" w:rsidRPr="002A5015">
        <w:rPr>
          <w:lang w:val="es-ES"/>
        </w:rPr>
        <w:t xml:space="preserve">Es evidente que para </w:t>
      </w:r>
      <w:r w:rsidR="004110D1" w:rsidRPr="002A5015">
        <w:rPr>
          <w:lang w:val="es-ES"/>
        </w:rPr>
        <w:t>protegerse de</w:t>
      </w:r>
      <w:r w:rsidR="009971C7" w:rsidRPr="002A5015">
        <w:rPr>
          <w:lang w:val="es-ES"/>
        </w:rPr>
        <w:t xml:space="preserve"> un problema hay que evitar que surja; en estos casos, los bancos suelen optar por reducir sus niveles de riesgo. Sin embargo, ponerlo en práctica resulta más sencillo de decir que de hacer. En cualquier caso, si surge un problema, es crucial limitar el alcance del relato y, por ende, su impacto. Esto puede implicar tomar decisiones para salvaguardar la reputación de los bancos en relación con asuntos como la evasión fiscal, las inversiones en paraísos fiscales y la identidad de los socios y asociados. La </w:t>
      </w:r>
      <w:r w:rsidR="004110D1" w:rsidRPr="002A5015">
        <w:rPr>
          <w:lang w:val="es-ES"/>
        </w:rPr>
        <w:t>protección</w:t>
      </w:r>
      <w:r w:rsidR="009971C7" w:rsidRPr="002A5015">
        <w:rPr>
          <w:lang w:val="es-ES"/>
        </w:rPr>
        <w:t xml:space="preserve"> pasa por instaurar sistemas de transparencia que sienten los cimientos de una buena reputación. Estos sistemas exigen mantener registros exhaustivos, cumplir diligentemente con las obligaciones de información y permitir el escrutinio de las operaciones realizadas. En última instancia, esto demanda trabajar con instituciones financieras, asesores e inversiones de confianza que puedan resistir las inspecciones de los organismos reguladores.</w:t>
      </w:r>
    </w:p>
    <w:p w14:paraId="4FD14412" w14:textId="5A635CC2" w:rsidR="00337024" w:rsidRPr="002A5015" w:rsidRDefault="005B5CA6" w:rsidP="00337024">
      <w:pPr>
        <w:pStyle w:val="Bodytext20"/>
        <w:numPr>
          <w:ilvl w:val="0"/>
          <w:numId w:val="1"/>
        </w:numPr>
        <w:shd w:val="clear" w:color="auto" w:fill="auto"/>
        <w:tabs>
          <w:tab w:val="left" w:pos="246"/>
        </w:tabs>
        <w:spacing w:before="0" w:after="120"/>
        <w:ind w:left="300"/>
        <w:rPr>
          <w:lang w:val="es-ES"/>
        </w:rPr>
      </w:pPr>
      <w:r w:rsidRPr="002A5015">
        <w:rPr>
          <w:lang w:val="es-ES"/>
        </w:rPr>
        <w:t xml:space="preserve"> Para preservar la reputación, es fundamental adherirse a prácticas éticas y comprometerse plenamente con la legalidad en los procesos financieros. Los HNWI, conscientes de su impacto financiero y del escrutinio adicional al que están sometidos, deben tomar decisiones que los protejan en situaciones de exposición; revisar regularmente su presencia en línea para prever posibles problemas; abordar de manera activa los problemas cuando sea posible (existen muchas opciones disponibles); y promover proactivamente un perfil en línea auténtico que refleje fielmente a la persona y sus intereses</w:t>
      </w:r>
      <w:r w:rsidR="00337024" w:rsidRPr="002A5015">
        <w:rPr>
          <w:lang w:val="es-ES"/>
        </w:rPr>
        <w:t>.</w:t>
      </w:r>
    </w:p>
    <w:p w14:paraId="3EC31A19" w14:textId="196ADAAC" w:rsidR="00D063B7" w:rsidRPr="002A5015" w:rsidRDefault="0001621B" w:rsidP="00337024">
      <w:pPr>
        <w:pStyle w:val="Bodytext20"/>
        <w:numPr>
          <w:ilvl w:val="0"/>
          <w:numId w:val="1"/>
        </w:numPr>
        <w:shd w:val="clear" w:color="auto" w:fill="auto"/>
        <w:tabs>
          <w:tab w:val="left" w:pos="246"/>
        </w:tabs>
        <w:spacing w:before="0" w:after="481"/>
        <w:ind w:left="300"/>
        <w:rPr>
          <w:lang w:val="es-ES"/>
        </w:rPr>
      </w:pPr>
      <w:r w:rsidRPr="002A5015">
        <w:rPr>
          <w:lang w:val="es-ES"/>
        </w:rPr>
        <w:t xml:space="preserve"> </w:t>
      </w:r>
      <w:r w:rsidR="00337024" w:rsidRPr="002A5015">
        <w:rPr>
          <w:lang w:val="es-ES"/>
        </w:rPr>
        <w:t>Para fortalecer la reputación financiera, no es suficiente con evitar los escándalos. Es necesario comprometerse activamente en actividades que generen una visibilidad positiva. La inversión ética, la filantropía y el liderazgo en responsabilidad financiera pueden posicionar a los HNWI como ejemplos de integridad financiera. Estas medidas pueden funcionar como un seguro contra una avalancha de críticas que podría perjudicar la reputación de un cliente. Sin embargo, es fundamental evitar ser percibidos como hipócritas.</w:t>
      </w:r>
    </w:p>
    <w:p w14:paraId="65423EB9" w14:textId="464248A0" w:rsidR="005D5D04" w:rsidRPr="002A5015" w:rsidRDefault="0001621B" w:rsidP="005D5D04">
      <w:pPr>
        <w:pStyle w:val="Heading20"/>
        <w:keepNext/>
        <w:keepLines/>
        <w:shd w:val="clear" w:color="auto" w:fill="auto"/>
        <w:spacing w:before="0" w:after="97" w:line="320" w:lineRule="exact"/>
        <w:rPr>
          <w:color w:val="C45911" w:themeColor="accent2" w:themeShade="BF"/>
          <w:lang w:val="es-ES"/>
        </w:rPr>
      </w:pPr>
      <w:r w:rsidRPr="002A5015">
        <w:rPr>
          <w:rStyle w:val="Heading21"/>
          <w:b/>
          <w:bCs/>
          <w:color w:val="C45911" w:themeColor="accent2" w:themeShade="BF"/>
          <w:lang w:val="es-ES"/>
        </w:rPr>
        <w:t>Perspectivas de futur</w:t>
      </w:r>
      <w:r w:rsidR="005D5D04" w:rsidRPr="002A5015">
        <w:rPr>
          <w:rStyle w:val="Heading21"/>
          <w:b/>
          <w:bCs/>
          <w:color w:val="C45911" w:themeColor="accent2" w:themeShade="BF"/>
          <w:lang w:val="es-ES"/>
        </w:rPr>
        <w:t>o</w:t>
      </w:r>
    </w:p>
    <w:p w14:paraId="1E81ED66" w14:textId="335F0890" w:rsidR="00D063B7" w:rsidRPr="002A5015" w:rsidRDefault="005D5D04" w:rsidP="005D5D04">
      <w:pPr>
        <w:pStyle w:val="Bodytext20"/>
        <w:shd w:val="clear" w:color="auto" w:fill="auto"/>
        <w:spacing w:before="0" w:after="360"/>
        <w:ind w:firstLine="0"/>
        <w:rPr>
          <w:lang w:val="es-ES"/>
        </w:rPr>
      </w:pPr>
      <w:r w:rsidRPr="002A5015">
        <w:rPr>
          <w:lang w:val="es-ES"/>
        </w:rPr>
        <w:t xml:space="preserve">El aumento de las acciones de </w:t>
      </w:r>
      <w:r w:rsidRPr="002A5015">
        <w:rPr>
          <w:i/>
          <w:iCs/>
          <w:lang w:val="es-ES"/>
        </w:rPr>
        <w:t>de-banking</w:t>
      </w:r>
      <w:r w:rsidRPr="002A5015">
        <w:rPr>
          <w:lang w:val="es-ES"/>
        </w:rPr>
        <w:t xml:space="preserve"> observado en los últimos años es un claro recordatorio del delicado equilibrio entre la riqueza y la reputación. Para los HNWI, proteger, preservar y fortalecer su reputación financiera es esencial para asegurar su futuro financiero. </w:t>
      </w:r>
    </w:p>
    <w:p w14:paraId="797D2EC7" w14:textId="5FD0E4B3" w:rsidR="00D063B7" w:rsidRPr="002A5015" w:rsidRDefault="007D247E">
      <w:pPr>
        <w:pStyle w:val="Bodytext20"/>
        <w:shd w:val="clear" w:color="auto" w:fill="auto"/>
        <w:spacing w:before="0" w:after="356"/>
        <w:ind w:firstLine="0"/>
        <w:rPr>
          <w:lang w:val="es-ES"/>
        </w:rPr>
      </w:pPr>
      <w:r w:rsidRPr="002A5015">
        <w:rPr>
          <w:lang w:val="es-ES"/>
        </w:rPr>
        <w:t xml:space="preserve">Estamos a la espera de la nueva normativa que el Gobierno establecerá; sin embargo, es importante tener en cuenta que un cambio en el ejecutivo también podría influir en la aparición de dicha normativa y, en consecuencia, en su contenido. A pesar de ello, muchos particulares seguirán enfrentándose al desafío del </w:t>
      </w:r>
      <w:r w:rsidRPr="002A5015">
        <w:rPr>
          <w:i/>
          <w:iCs/>
          <w:lang w:val="es-ES"/>
        </w:rPr>
        <w:t>de-banking</w:t>
      </w:r>
      <w:r w:rsidRPr="002A5015">
        <w:rPr>
          <w:lang w:val="es-ES"/>
        </w:rPr>
        <w:t>. Por otra parte, aquellos que logren anticiparse a este riesgo estarán en una mejor posición para evitarlo desde el principio y también para responder en caso de que se enfrenten a esta situación.</w:t>
      </w:r>
    </w:p>
    <w:p w14:paraId="5278887F" w14:textId="7D5FC7F5" w:rsidR="00D063B7" w:rsidRPr="002A5015" w:rsidRDefault="00A25A7F">
      <w:pPr>
        <w:pStyle w:val="Bodytext20"/>
        <w:shd w:val="clear" w:color="auto" w:fill="auto"/>
        <w:spacing w:before="0" w:after="445" w:line="326" w:lineRule="exact"/>
        <w:ind w:firstLine="0"/>
        <w:rPr>
          <w:lang w:val="es-ES"/>
        </w:rPr>
      </w:pPr>
      <w:r w:rsidRPr="002A5015">
        <w:rPr>
          <w:lang w:val="es-ES"/>
        </w:rPr>
        <w:lastRenderedPageBreak/>
        <w:t>El presente artículo es un resumen general de lo dispuesto en la legislación aplicable. No debe sustituir al asesoramiento jurídico que pudiera recibir en función de sus circunstancias personales.</w:t>
      </w:r>
    </w:p>
    <w:p w14:paraId="751941E1" w14:textId="74BC34F4" w:rsidR="00D063B7" w:rsidRPr="002A5015" w:rsidRDefault="00D02653">
      <w:pPr>
        <w:pStyle w:val="Bodytext20"/>
        <w:shd w:val="clear" w:color="auto" w:fill="auto"/>
        <w:spacing w:before="0" w:after="762" w:line="220" w:lineRule="exact"/>
        <w:ind w:firstLine="0"/>
        <w:rPr>
          <w:lang w:val="es-ES"/>
        </w:rPr>
      </w:pPr>
      <w:r w:rsidRPr="002A5015">
        <w:rPr>
          <w:lang w:val="es-ES"/>
        </w:rPr>
        <w:t xml:space="preserve">© Farrer &amp; Co LLP, </w:t>
      </w:r>
      <w:r w:rsidR="007D247E" w:rsidRPr="002A5015">
        <w:rPr>
          <w:lang w:val="es-ES"/>
        </w:rPr>
        <w:t>octubre</w:t>
      </w:r>
      <w:r w:rsidRPr="002A5015">
        <w:rPr>
          <w:lang w:val="es-ES"/>
        </w:rPr>
        <w:t xml:space="preserve"> 2023</w:t>
      </w:r>
    </w:p>
    <w:p w14:paraId="65015B75" w14:textId="00F09EDA" w:rsidR="00D063B7" w:rsidRPr="002A5015" w:rsidRDefault="00D44BC4">
      <w:pPr>
        <w:pStyle w:val="Bodytext40"/>
        <w:shd w:val="clear" w:color="auto" w:fill="auto"/>
        <w:spacing w:before="0" w:after="481" w:line="280" w:lineRule="exact"/>
        <w:jc w:val="center"/>
        <w:rPr>
          <w:lang w:val="es-ES"/>
        </w:rPr>
      </w:pPr>
      <w:r w:rsidRPr="002A5015">
        <w:rPr>
          <w:lang w:val="es-ES"/>
        </w:rPr>
        <w:t>¿Necesita más información?</w:t>
      </w:r>
    </w:p>
    <w:p w14:paraId="001E8820" w14:textId="0A923D1C" w:rsidR="00D063B7" w:rsidRPr="002A5015" w:rsidRDefault="0030746D">
      <w:pPr>
        <w:pStyle w:val="Bodytext50"/>
        <w:shd w:val="clear" w:color="auto" w:fill="auto"/>
        <w:spacing w:before="0" w:line="160" w:lineRule="exact"/>
        <w:rPr>
          <w:color w:val="C45911" w:themeColor="accent2" w:themeShade="BF"/>
          <w:sz w:val="14"/>
          <w:szCs w:val="14"/>
          <w:lang w:val="es-ES"/>
        </w:rPr>
      </w:pPr>
      <w:hyperlink r:id="rId8" w:history="1">
        <w:r w:rsidR="00D44BC4" w:rsidRPr="0030746D">
          <w:rPr>
            <w:rStyle w:val="Hyperlink"/>
            <w:sz w:val="14"/>
            <w:szCs w:val="14"/>
            <w:lang w:val="es-ES"/>
          </w:rPr>
          <w:t>CONTÁCTENOS</w:t>
        </w:r>
      </w:hyperlink>
      <w:r w:rsidR="00D44BC4" w:rsidRPr="002A5015">
        <w:rPr>
          <w:color w:val="C45911" w:themeColor="accent2" w:themeShade="BF"/>
          <w:sz w:val="14"/>
          <w:szCs w:val="14"/>
          <w:lang w:val="es-ES"/>
        </w:rPr>
        <w:br w:type="page"/>
      </w:r>
    </w:p>
    <w:p w14:paraId="1629CB2D" w14:textId="7D0DB792" w:rsidR="0089496D" w:rsidRPr="002A5015" w:rsidRDefault="0030746D" w:rsidP="0089496D">
      <w:pPr>
        <w:pStyle w:val="Bodytext20"/>
        <w:shd w:val="clear" w:color="auto" w:fill="auto"/>
        <w:tabs>
          <w:tab w:val="left" w:pos="0"/>
        </w:tabs>
        <w:spacing w:before="0" w:after="441" w:line="220" w:lineRule="exact"/>
        <w:ind w:firstLine="0"/>
        <w:rPr>
          <w:rStyle w:val="Bodytext22"/>
          <w:color w:val="C45911" w:themeColor="accent2" w:themeShade="BF"/>
          <w:lang w:val="es-ES"/>
        </w:rPr>
      </w:pPr>
      <w:r>
        <w:rPr>
          <w:noProof/>
          <w:color w:val="C45911" w:themeColor="accent2" w:themeShade="BF"/>
          <w:lang w:val="es-ES"/>
        </w:rPr>
        <w:lastRenderedPageBreak/>
        <mc:AlternateContent>
          <mc:Choice Requires="wps">
            <w:drawing>
              <wp:anchor distT="0" distB="0" distL="114300" distR="114300" simplePos="0" relativeHeight="251660288" behindDoc="0" locked="0" layoutInCell="1" allowOverlap="1" wp14:anchorId="2F4D379C" wp14:editId="7F947306">
                <wp:simplePos x="0" y="0"/>
                <wp:positionH relativeFrom="column">
                  <wp:posOffset>33655</wp:posOffset>
                </wp:positionH>
                <wp:positionV relativeFrom="paragraph">
                  <wp:posOffset>227965</wp:posOffset>
                </wp:positionV>
                <wp:extent cx="937260" cy="281940"/>
                <wp:effectExtent l="0" t="1905" r="0" b="1905"/>
                <wp:wrapNone/>
                <wp:docPr id="2860362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8D890" w14:textId="77777777" w:rsidR="0089496D" w:rsidRPr="00606F3B" w:rsidRDefault="0089496D" w:rsidP="0089496D">
                            <w:pPr>
                              <w:pStyle w:val="Bodytext20"/>
                              <w:shd w:val="clear" w:color="auto" w:fill="auto"/>
                              <w:tabs>
                                <w:tab w:val="left" w:pos="0"/>
                              </w:tabs>
                              <w:spacing w:before="0" w:after="441" w:line="220" w:lineRule="exact"/>
                              <w:ind w:firstLine="0"/>
                              <w:rPr>
                                <w:color w:val="C45911" w:themeColor="accent2" w:themeShade="BF"/>
                              </w:rPr>
                            </w:pPr>
                            <w:r>
                              <w:rPr>
                                <w:rStyle w:val="Bodytext22"/>
                                <w:color w:val="C45911" w:themeColor="accent2" w:themeShade="BF"/>
                              </w:rPr>
                              <w:t>Los autores</w:t>
                            </w:r>
                          </w:p>
                          <w:p w14:paraId="405B1B10" w14:textId="77777777" w:rsidR="0089496D" w:rsidRDefault="008949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D379C" id="_x0000_t202" coordsize="21600,21600" o:spt="202" path="m,l,21600r21600,l21600,xe">
                <v:stroke joinstyle="miter"/>
                <v:path gradientshapeok="t" o:connecttype="rect"/>
              </v:shapetype>
              <v:shape id="Text Box 9" o:spid="_x0000_s1026" type="#_x0000_t202" style="position:absolute;margin-left:2.65pt;margin-top:17.95pt;width:73.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" stroked="f">
                <v:textbox>
                  <w:txbxContent>
                    <w:p w14:paraId="6028D890" w14:textId="77777777" w:rsidR="0089496D" w:rsidRPr="00606F3B" w:rsidRDefault="0089496D" w:rsidP="0089496D">
                      <w:pPr>
                        <w:pStyle w:val="Bodytext20"/>
                        <w:shd w:val="clear" w:color="auto" w:fill="auto"/>
                        <w:tabs>
                          <w:tab w:val="left" w:pos="0"/>
                        </w:tabs>
                        <w:spacing w:before="0" w:after="441" w:line="220" w:lineRule="exact"/>
                        <w:ind w:firstLine="0"/>
                        <w:rPr>
                          <w:color w:val="C45911" w:themeColor="accent2" w:themeShade="BF"/>
                        </w:rPr>
                      </w:pPr>
                      <w:r>
                        <w:rPr>
                          <w:rStyle w:val="Bodytext22"/>
                          <w:color w:val="C45911" w:themeColor="accent2" w:themeShade="BF"/>
                        </w:rPr>
                        <w:t>Los autores</w:t>
                      </w:r>
                    </w:p>
                    <w:p w14:paraId="405B1B10" w14:textId="77777777" w:rsidR="0089496D" w:rsidRDefault="0089496D"/>
                  </w:txbxContent>
                </v:textbox>
              </v:shape>
            </w:pict>
          </mc:Fallback>
        </mc:AlternateContent>
      </w:r>
    </w:p>
    <w:p w14:paraId="2E58E754" w14:textId="56F06A3F" w:rsidR="00D063B7" w:rsidRPr="002A5015" w:rsidRDefault="00D063B7" w:rsidP="0089496D">
      <w:pPr>
        <w:pStyle w:val="Bodytext20"/>
        <w:shd w:val="clear" w:color="auto" w:fill="auto"/>
        <w:tabs>
          <w:tab w:val="left" w:pos="0"/>
        </w:tabs>
        <w:spacing w:before="0" w:after="441" w:line="220" w:lineRule="exact"/>
        <w:ind w:firstLine="0"/>
        <w:rPr>
          <w:color w:val="C45911" w:themeColor="accent2" w:themeShade="BF"/>
          <w:lang w:val="es-ES"/>
        </w:rPr>
      </w:pPr>
    </w:p>
    <w:p w14:paraId="23AF41BC" w14:textId="54E41C7B" w:rsidR="00D063B7" w:rsidRPr="002A5015" w:rsidRDefault="0030746D">
      <w:pPr>
        <w:pStyle w:val="Heading30"/>
        <w:keepNext/>
        <w:keepLines/>
        <w:shd w:val="clear" w:color="auto" w:fill="auto"/>
        <w:spacing w:before="0" w:after="0" w:line="210" w:lineRule="exact"/>
        <w:rPr>
          <w:lang w:val="es-ES"/>
        </w:rPr>
      </w:pPr>
      <w:r>
        <w:rPr>
          <w:noProof/>
          <w:lang w:val="es-ES"/>
        </w:rPr>
        <w:drawing>
          <wp:anchor distT="0" distB="0" distL="63500" distR="247015" simplePos="0" relativeHeight="251658240" behindDoc="1" locked="0" layoutInCell="1" allowOverlap="1" wp14:anchorId="28C32834" wp14:editId="7331B470">
            <wp:simplePos x="0" y="0"/>
            <wp:positionH relativeFrom="margin">
              <wp:posOffset>69850</wp:posOffset>
            </wp:positionH>
            <wp:positionV relativeFrom="paragraph">
              <wp:posOffset>-118745</wp:posOffset>
            </wp:positionV>
            <wp:extent cx="457200" cy="530225"/>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30225"/>
                    </a:xfrm>
                    <a:prstGeom prst="rect">
                      <a:avLst/>
                    </a:prstGeom>
                    <a:noFill/>
                  </pic:spPr>
                </pic:pic>
              </a:graphicData>
            </a:graphic>
            <wp14:sizeRelH relativeFrom="page">
              <wp14:pctWidth>0</wp14:pctWidth>
            </wp14:sizeRelH>
            <wp14:sizeRelV relativeFrom="page">
              <wp14:pctHeight>0</wp14:pctHeight>
            </wp14:sizeRelV>
          </wp:anchor>
        </w:drawing>
      </w:r>
      <w:bookmarkStart w:id="4" w:name="bookmark13"/>
      <w:r w:rsidR="00D02653" w:rsidRPr="002A5015">
        <w:rPr>
          <w:rStyle w:val="Heading32"/>
          <w:b/>
          <w:bCs/>
          <w:lang w:val="es-ES"/>
        </w:rPr>
        <w:t>Julian Pike</w:t>
      </w:r>
      <w:bookmarkEnd w:id="4"/>
    </w:p>
    <w:p w14:paraId="15797E59" w14:textId="614C6D85" w:rsidR="00D063B7" w:rsidRPr="002A5015" w:rsidRDefault="00D44BC4">
      <w:pPr>
        <w:pStyle w:val="Bodytext20"/>
        <w:shd w:val="clear" w:color="auto" w:fill="auto"/>
        <w:spacing w:before="0" w:after="375" w:line="220" w:lineRule="exact"/>
        <w:ind w:firstLine="0"/>
        <w:rPr>
          <w:color w:val="C45911" w:themeColor="accent2" w:themeShade="BF"/>
          <w:lang w:val="es-ES"/>
        </w:rPr>
      </w:pPr>
      <w:r w:rsidRPr="002A5015">
        <w:rPr>
          <w:rStyle w:val="Bodytext22"/>
          <w:color w:val="C45911" w:themeColor="accent2" w:themeShade="BF"/>
          <w:lang w:val="es-ES"/>
        </w:rPr>
        <w:t>Socio</w:t>
      </w:r>
    </w:p>
    <w:p w14:paraId="70F0E6E2" w14:textId="2879AF75" w:rsidR="00D063B7" w:rsidRPr="002A5015" w:rsidRDefault="00C0600C">
      <w:pPr>
        <w:pStyle w:val="Bodytext20"/>
        <w:shd w:val="clear" w:color="auto" w:fill="auto"/>
        <w:spacing w:before="0" w:after="234" w:line="293" w:lineRule="exact"/>
        <w:ind w:right="3040" w:firstLine="0"/>
        <w:rPr>
          <w:lang w:val="es-ES"/>
        </w:rPr>
      </w:pPr>
      <w:r w:rsidRPr="002A5015">
        <w:rPr>
          <w:rStyle w:val="Bodytext23"/>
          <w:lang w:val="es-ES"/>
        </w:rPr>
        <w:t>La labor de Julián en el ámbito de la gestión de la reputación es sumamente reconocida gracias a su vasta experiencia en el sector deportivo, donde trabaja con numerosos organismos nacionales, clubes emblemáticos y deportistas de alto nivel.</w:t>
      </w:r>
    </w:p>
    <w:p w14:paraId="0DBE499C" w14:textId="61F7144A" w:rsidR="00606F3B" w:rsidRPr="002A5015" w:rsidRDefault="00A25A7F" w:rsidP="00A25A7F">
      <w:pPr>
        <w:pStyle w:val="Bodytext20"/>
        <w:shd w:val="clear" w:color="auto" w:fill="auto"/>
        <w:spacing w:before="0" w:after="0" w:line="451" w:lineRule="exact"/>
        <w:ind w:left="560" w:right="6801" w:firstLine="0"/>
        <w:rPr>
          <w:rStyle w:val="Bodytext23"/>
          <w:lang w:val="es-ES"/>
        </w:rPr>
      </w:pPr>
      <w:r w:rsidRPr="002A5015">
        <w:rPr>
          <w:rStyle w:val="Bodytext23"/>
          <w:noProof/>
          <w:lang w:val="es-ES"/>
        </w:rPr>
        <w:drawing>
          <wp:anchor distT="0" distB="0" distL="114300" distR="114300" simplePos="0" relativeHeight="251660800" behindDoc="0" locked="0" layoutInCell="1" allowOverlap="1" wp14:anchorId="6A2976C2" wp14:editId="344E7051">
            <wp:simplePos x="0" y="0"/>
            <wp:positionH relativeFrom="column">
              <wp:posOffset>-8255</wp:posOffset>
            </wp:positionH>
            <wp:positionV relativeFrom="page">
              <wp:posOffset>2644140</wp:posOffset>
            </wp:positionV>
            <wp:extent cx="327660" cy="899160"/>
            <wp:effectExtent l="0" t="0" r="0" b="0"/>
            <wp:wrapSquare wrapText="bothSides"/>
            <wp:docPr id="1109873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9380" name=""/>
                    <pic:cNvPicPr/>
                  </pic:nvPicPr>
                  <pic:blipFill>
                    <a:blip r:embed="rId10">
                      <a:extLst>
                        <a:ext uri="{28A0092B-C50C-407E-A947-70E740481C1C}">
                          <a14:useLocalDpi xmlns:a14="http://schemas.microsoft.com/office/drawing/2010/main" val="0"/>
                        </a:ext>
                      </a:extLst>
                    </a:blip>
                    <a:stretch>
                      <a:fillRect/>
                    </a:stretch>
                  </pic:blipFill>
                  <pic:spPr>
                    <a:xfrm>
                      <a:off x="0" y="0"/>
                      <a:ext cx="327660" cy="899160"/>
                    </a:xfrm>
                    <a:prstGeom prst="rect">
                      <a:avLst/>
                    </a:prstGeom>
                  </pic:spPr>
                </pic:pic>
              </a:graphicData>
            </a:graphic>
          </wp:anchor>
        </w:drawing>
      </w:r>
      <w:hyperlink r:id="rId11" w:history="1">
        <w:r w:rsidRPr="0030746D">
          <w:rPr>
            <w:rStyle w:val="Hyperlink"/>
            <w:lang w:val="es-ES"/>
          </w:rPr>
          <w:t>Página de perfil de Julian</w:t>
        </w:r>
      </w:hyperlink>
      <w:r w:rsidR="00606F3B" w:rsidRPr="002A5015">
        <w:rPr>
          <w:rStyle w:val="Bodytext23"/>
          <w:lang w:val="es-ES"/>
        </w:rPr>
        <w:t xml:space="preserve"> </w:t>
      </w:r>
      <w:hyperlink r:id="rId12" w:history="1">
        <w:r w:rsidR="00F71014" w:rsidRPr="0030746D">
          <w:rPr>
            <w:rStyle w:val="Hyperlink"/>
            <w:lang w:val="es-ES"/>
          </w:rPr>
          <w:t>Envíele</w:t>
        </w:r>
        <w:r w:rsidR="00C0600C" w:rsidRPr="0030746D">
          <w:rPr>
            <w:rStyle w:val="Hyperlink"/>
            <w:lang w:val="es-ES"/>
          </w:rPr>
          <w:t xml:space="preserve"> un correo</w:t>
        </w:r>
      </w:hyperlink>
      <w:r w:rsidR="00606F3B" w:rsidRPr="002A5015">
        <w:rPr>
          <w:rStyle w:val="Bodytext23"/>
          <w:lang w:val="es-ES"/>
        </w:rPr>
        <w:t xml:space="preserve"> </w:t>
      </w:r>
    </w:p>
    <w:p w14:paraId="581AA031" w14:textId="27E224A1" w:rsidR="00606F3B" w:rsidRPr="002A5015" w:rsidRDefault="00606F3B" w:rsidP="00606F3B">
      <w:pPr>
        <w:pStyle w:val="Bodytext20"/>
        <w:shd w:val="clear" w:color="auto" w:fill="auto"/>
        <w:spacing w:before="0" w:after="0" w:line="451" w:lineRule="exact"/>
        <w:ind w:left="560" w:right="7680" w:firstLine="0"/>
        <w:rPr>
          <w:lang w:val="es-ES"/>
        </w:rPr>
        <w:sectPr w:rsidR="00606F3B" w:rsidRPr="002A5015" w:rsidSect="00606F3B">
          <w:type w:val="continuous"/>
          <w:pgSz w:w="11900" w:h="16840"/>
          <w:pgMar w:top="589" w:right="808" w:bottom="528" w:left="781" w:header="0" w:footer="3" w:gutter="0"/>
          <w:cols w:space="720"/>
          <w:noEndnote/>
          <w:docGrid w:linePitch="360"/>
        </w:sectPr>
      </w:pPr>
      <w:r w:rsidRPr="002A5015">
        <w:rPr>
          <w:rStyle w:val="Bodytext29pt0"/>
          <w:lang w:val="es-ES"/>
        </w:rPr>
        <w:t>+44 (0)20 3375 721</w:t>
      </w:r>
    </w:p>
    <w:p w14:paraId="64D66209" w14:textId="477067BB" w:rsidR="00D063B7" w:rsidRPr="002A5015" w:rsidRDefault="00D063B7" w:rsidP="00606F3B">
      <w:pPr>
        <w:pStyle w:val="Bodytext20"/>
        <w:shd w:val="clear" w:color="auto" w:fill="auto"/>
        <w:spacing w:before="0" w:after="793" w:line="451" w:lineRule="exact"/>
        <w:ind w:right="7680" w:firstLine="0"/>
        <w:rPr>
          <w:lang w:val="es-ES"/>
        </w:rPr>
      </w:pPr>
    </w:p>
    <w:p w14:paraId="0F7BEFE1" w14:textId="6FBA5EF9" w:rsidR="00D063B7" w:rsidRPr="002A5015" w:rsidRDefault="0030746D">
      <w:pPr>
        <w:pStyle w:val="Heading30"/>
        <w:keepNext/>
        <w:keepLines/>
        <w:shd w:val="clear" w:color="auto" w:fill="auto"/>
        <w:spacing w:before="0" w:after="15" w:line="210" w:lineRule="exact"/>
        <w:rPr>
          <w:lang w:val="es-ES"/>
        </w:rPr>
      </w:pPr>
      <w:r>
        <w:rPr>
          <w:noProof/>
          <w:lang w:val="es-ES"/>
        </w:rPr>
        <w:drawing>
          <wp:anchor distT="0" distB="0" distL="63500" distR="210185" simplePos="0" relativeHeight="251659264" behindDoc="1" locked="0" layoutInCell="1" allowOverlap="1" wp14:anchorId="61EA16B3" wp14:editId="57764824">
            <wp:simplePos x="0" y="0"/>
            <wp:positionH relativeFrom="margin">
              <wp:posOffset>33655</wp:posOffset>
            </wp:positionH>
            <wp:positionV relativeFrom="paragraph">
              <wp:posOffset>-121920</wp:posOffset>
            </wp:positionV>
            <wp:extent cx="530225" cy="536575"/>
            <wp:effectExtent l="0" t="0" r="0" b="0"/>
            <wp:wrapSquare wrapText="r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225" cy="536575"/>
                    </a:xfrm>
                    <a:prstGeom prst="rect">
                      <a:avLst/>
                    </a:prstGeom>
                    <a:noFill/>
                  </pic:spPr>
                </pic:pic>
              </a:graphicData>
            </a:graphic>
            <wp14:sizeRelH relativeFrom="page">
              <wp14:pctWidth>0</wp14:pctWidth>
            </wp14:sizeRelH>
            <wp14:sizeRelV relativeFrom="page">
              <wp14:pctHeight>0</wp14:pctHeight>
            </wp14:sizeRelV>
          </wp:anchor>
        </w:drawing>
      </w:r>
      <w:bookmarkStart w:id="5" w:name="bookmark14"/>
      <w:r w:rsidR="00D02653" w:rsidRPr="002A5015">
        <w:rPr>
          <w:rStyle w:val="Heading32"/>
          <w:b/>
          <w:bCs/>
          <w:lang w:val="es-ES"/>
        </w:rPr>
        <w:t>Oliver Lock</w:t>
      </w:r>
      <w:bookmarkEnd w:id="5"/>
    </w:p>
    <w:p w14:paraId="20AE40D7" w14:textId="25C0A168" w:rsidR="00D063B7" w:rsidRPr="002A5015" w:rsidRDefault="00D44BC4">
      <w:pPr>
        <w:pStyle w:val="Bodytext20"/>
        <w:shd w:val="clear" w:color="auto" w:fill="auto"/>
        <w:spacing w:before="0" w:after="375" w:line="220" w:lineRule="exact"/>
        <w:ind w:firstLine="0"/>
        <w:rPr>
          <w:color w:val="C45911" w:themeColor="accent2" w:themeShade="BF"/>
          <w:lang w:val="es-ES"/>
        </w:rPr>
      </w:pPr>
      <w:r w:rsidRPr="002A5015">
        <w:rPr>
          <w:rStyle w:val="Bodytext22"/>
          <w:color w:val="C45911" w:themeColor="accent2" w:themeShade="BF"/>
          <w:lang w:val="es-ES"/>
        </w:rPr>
        <w:t>Asociado s</w:t>
      </w:r>
      <w:r w:rsidR="00C0600C" w:rsidRPr="002A5015">
        <w:rPr>
          <w:rStyle w:val="Bodytext22"/>
          <w:color w:val="C45911" w:themeColor="accent2" w:themeShade="BF"/>
          <w:lang w:val="es-ES"/>
        </w:rPr>
        <w:t>é</w:t>
      </w:r>
      <w:r w:rsidRPr="002A5015">
        <w:rPr>
          <w:rStyle w:val="Bodytext22"/>
          <w:color w:val="C45911" w:themeColor="accent2" w:themeShade="BF"/>
          <w:lang w:val="es-ES"/>
        </w:rPr>
        <w:t>nior</w:t>
      </w:r>
    </w:p>
    <w:p w14:paraId="57FA3120" w14:textId="1DED20A9" w:rsidR="00D063B7" w:rsidRPr="002A5015" w:rsidRDefault="00C0600C" w:rsidP="00606F3B">
      <w:pPr>
        <w:pStyle w:val="Bodytext20"/>
        <w:shd w:val="clear" w:color="auto" w:fill="auto"/>
        <w:spacing w:before="0" w:after="234" w:line="293" w:lineRule="exact"/>
        <w:ind w:right="3040" w:firstLine="0"/>
        <w:rPr>
          <w:lang w:val="es-ES"/>
        </w:rPr>
      </w:pPr>
      <w:r w:rsidRPr="002A5015">
        <w:rPr>
          <w:rStyle w:val="Bodytext23"/>
          <w:lang w:val="es-ES"/>
        </w:rPr>
        <w:t xml:space="preserve">Oliver ofrece asesoramiento personalizado e innovador en materia de gestión de la reputación a grandes patrimonios, plataformas de inversión, organizaciones benéficas, sociedades y directivos. </w:t>
      </w:r>
      <w:r w:rsidR="002A5015" w:rsidRPr="002A5015">
        <w:rPr>
          <w:lang w:val="es-ES"/>
        </w:rPr>
        <w:t xml:space="preserve">En particular, </w:t>
      </w:r>
      <w:r w:rsidR="00352C20">
        <w:rPr>
          <w:lang w:val="es-ES"/>
        </w:rPr>
        <w:t>orienta</w:t>
      </w:r>
      <w:r w:rsidR="002A5015" w:rsidRPr="002A5015">
        <w:rPr>
          <w:lang w:val="es-ES"/>
        </w:rPr>
        <w:t xml:space="preserve"> a profesionales del sector del entretenimiento y marcas de lujo para gestionar y responder a situaciones delicadas que puedan suponer un riesgo para su reputación</w:t>
      </w:r>
      <w:r w:rsidRPr="002A5015">
        <w:rPr>
          <w:rStyle w:val="Bodytext23"/>
          <w:lang w:val="es-ES"/>
        </w:rPr>
        <w:t>.</w:t>
      </w:r>
    </w:p>
    <w:p w14:paraId="16160AAB" w14:textId="7BB3E001" w:rsidR="00A25A7F" w:rsidRPr="002A5015" w:rsidRDefault="00C0600C" w:rsidP="00A25A7F">
      <w:pPr>
        <w:pStyle w:val="Bodytext20"/>
        <w:shd w:val="clear" w:color="auto" w:fill="auto"/>
        <w:spacing w:before="0" w:after="0" w:line="451" w:lineRule="exact"/>
        <w:ind w:left="560" w:right="6351" w:firstLine="0"/>
        <w:rPr>
          <w:rStyle w:val="Bodytext23"/>
          <w:lang w:val="es-ES"/>
        </w:rPr>
      </w:pPr>
      <w:r w:rsidRPr="002A5015">
        <w:rPr>
          <w:rStyle w:val="Bodytext23"/>
          <w:noProof/>
          <w:lang w:val="es-ES"/>
        </w:rPr>
        <w:drawing>
          <wp:anchor distT="0" distB="0" distL="114300" distR="114300" simplePos="0" relativeHeight="251656704" behindDoc="0" locked="0" layoutInCell="1" allowOverlap="1" wp14:anchorId="1D0244CB" wp14:editId="6B86FABF">
            <wp:simplePos x="0" y="0"/>
            <wp:positionH relativeFrom="column">
              <wp:posOffset>29845</wp:posOffset>
            </wp:positionH>
            <wp:positionV relativeFrom="page">
              <wp:posOffset>6164580</wp:posOffset>
            </wp:positionV>
            <wp:extent cx="327660" cy="899160"/>
            <wp:effectExtent l="0" t="0" r="0" b="0"/>
            <wp:wrapSquare wrapText="bothSides"/>
            <wp:docPr id="513693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9380" name=""/>
                    <pic:cNvPicPr/>
                  </pic:nvPicPr>
                  <pic:blipFill>
                    <a:blip r:embed="rId10">
                      <a:extLst>
                        <a:ext uri="{28A0092B-C50C-407E-A947-70E740481C1C}">
                          <a14:useLocalDpi xmlns:a14="http://schemas.microsoft.com/office/drawing/2010/main" val="0"/>
                        </a:ext>
                      </a:extLst>
                    </a:blip>
                    <a:stretch>
                      <a:fillRect/>
                    </a:stretch>
                  </pic:blipFill>
                  <pic:spPr>
                    <a:xfrm>
                      <a:off x="0" y="0"/>
                      <a:ext cx="327660" cy="899160"/>
                    </a:xfrm>
                    <a:prstGeom prst="rect">
                      <a:avLst/>
                    </a:prstGeom>
                  </pic:spPr>
                </pic:pic>
              </a:graphicData>
            </a:graphic>
          </wp:anchor>
        </w:drawing>
      </w:r>
      <w:hyperlink r:id="rId14" w:history="1">
        <w:r w:rsidR="00A25A7F" w:rsidRPr="0030746D">
          <w:rPr>
            <w:rStyle w:val="Hyperlink"/>
            <w:lang w:val="es-ES"/>
          </w:rPr>
          <w:t>Página de perfil de Oliver</w:t>
        </w:r>
      </w:hyperlink>
    </w:p>
    <w:p w14:paraId="0F9F8D26" w14:textId="6A811490" w:rsidR="00606F3B" w:rsidRPr="002A5015" w:rsidRDefault="0030746D" w:rsidP="00A25A7F">
      <w:pPr>
        <w:pStyle w:val="Bodytext20"/>
        <w:shd w:val="clear" w:color="auto" w:fill="auto"/>
        <w:spacing w:before="0" w:after="0" w:line="451" w:lineRule="exact"/>
        <w:ind w:left="560" w:right="6351" w:firstLine="0"/>
        <w:rPr>
          <w:rStyle w:val="Bodytext23"/>
          <w:lang w:val="es-ES"/>
        </w:rPr>
      </w:pPr>
      <w:hyperlink r:id="rId15" w:history="1">
        <w:r w:rsidR="00F71014" w:rsidRPr="0030746D">
          <w:rPr>
            <w:rStyle w:val="Hyperlink"/>
            <w:lang w:val="es-ES"/>
          </w:rPr>
          <w:t>Envíele</w:t>
        </w:r>
        <w:r w:rsidR="00A25A7F" w:rsidRPr="0030746D">
          <w:rPr>
            <w:rStyle w:val="Hyperlink"/>
            <w:lang w:val="es-ES"/>
          </w:rPr>
          <w:t xml:space="preserve"> un correo</w:t>
        </w:r>
      </w:hyperlink>
      <w:r w:rsidR="00A25A7F" w:rsidRPr="002A5015">
        <w:rPr>
          <w:noProof/>
          <w:lang w:val="es-ES"/>
        </w:rPr>
        <w:t xml:space="preserve"> </w:t>
      </w:r>
    </w:p>
    <w:p w14:paraId="343B7B3B" w14:textId="641EE0B6" w:rsidR="00D063B7" w:rsidRPr="002A5015" w:rsidRDefault="00D02653">
      <w:pPr>
        <w:pStyle w:val="Bodytext20"/>
        <w:shd w:val="clear" w:color="auto" w:fill="auto"/>
        <w:spacing w:before="0" w:after="0" w:line="451" w:lineRule="exact"/>
        <w:ind w:left="560" w:right="7680" w:firstLine="0"/>
        <w:rPr>
          <w:lang w:val="es-ES"/>
        </w:rPr>
        <w:sectPr w:rsidR="00D063B7" w:rsidRPr="002A5015">
          <w:type w:val="continuous"/>
          <w:pgSz w:w="11900" w:h="16840"/>
          <w:pgMar w:top="589" w:right="808" w:bottom="528" w:left="781" w:header="0" w:footer="3" w:gutter="0"/>
          <w:cols w:space="720"/>
          <w:noEndnote/>
          <w:docGrid w:linePitch="360"/>
        </w:sectPr>
      </w:pPr>
      <w:r w:rsidRPr="002A5015">
        <w:rPr>
          <w:rStyle w:val="Bodytext29pt0"/>
          <w:lang w:val="es-ES"/>
        </w:rPr>
        <w:t>+44 (0)20 3375 7201</w:t>
      </w:r>
    </w:p>
    <w:p w14:paraId="68F361C5" w14:textId="77777777" w:rsidR="00D063B7" w:rsidRPr="002A5015" w:rsidRDefault="00D063B7">
      <w:pPr>
        <w:spacing w:line="240" w:lineRule="exact"/>
        <w:rPr>
          <w:sz w:val="19"/>
          <w:szCs w:val="19"/>
          <w:lang w:val="es-ES"/>
        </w:rPr>
      </w:pPr>
    </w:p>
    <w:p w14:paraId="5BFAAC83" w14:textId="77777777" w:rsidR="00D063B7" w:rsidRPr="002A5015" w:rsidRDefault="00D063B7">
      <w:pPr>
        <w:spacing w:line="240" w:lineRule="exact"/>
        <w:rPr>
          <w:sz w:val="19"/>
          <w:szCs w:val="19"/>
          <w:lang w:val="es-ES"/>
        </w:rPr>
      </w:pPr>
    </w:p>
    <w:p w14:paraId="3AB917A6" w14:textId="77777777" w:rsidR="00D063B7" w:rsidRPr="002A5015" w:rsidRDefault="00D063B7">
      <w:pPr>
        <w:spacing w:line="240" w:lineRule="exact"/>
        <w:rPr>
          <w:sz w:val="19"/>
          <w:szCs w:val="19"/>
          <w:lang w:val="es-ES"/>
        </w:rPr>
      </w:pPr>
    </w:p>
    <w:p w14:paraId="69CD1105" w14:textId="7E5CCB6E" w:rsidR="00D063B7" w:rsidRPr="002A5015" w:rsidRDefault="00D063B7">
      <w:pPr>
        <w:spacing w:line="240" w:lineRule="exact"/>
        <w:rPr>
          <w:sz w:val="19"/>
          <w:szCs w:val="19"/>
          <w:lang w:val="es-ES"/>
        </w:rPr>
      </w:pPr>
    </w:p>
    <w:p w14:paraId="7B12E539" w14:textId="77777777" w:rsidR="00D063B7" w:rsidRPr="002A5015" w:rsidRDefault="00D063B7">
      <w:pPr>
        <w:spacing w:line="240" w:lineRule="exact"/>
        <w:rPr>
          <w:sz w:val="19"/>
          <w:szCs w:val="19"/>
          <w:lang w:val="es-ES"/>
        </w:rPr>
      </w:pPr>
    </w:p>
    <w:p w14:paraId="1EF0B7F1" w14:textId="77777777" w:rsidR="00D063B7" w:rsidRPr="002A5015" w:rsidRDefault="00D063B7">
      <w:pPr>
        <w:spacing w:line="240" w:lineRule="exact"/>
        <w:rPr>
          <w:sz w:val="19"/>
          <w:szCs w:val="19"/>
          <w:lang w:val="es-ES"/>
        </w:rPr>
      </w:pPr>
    </w:p>
    <w:p w14:paraId="13CD5253" w14:textId="77777777" w:rsidR="00D063B7" w:rsidRPr="002A5015" w:rsidRDefault="00D063B7">
      <w:pPr>
        <w:spacing w:line="240" w:lineRule="exact"/>
        <w:rPr>
          <w:sz w:val="19"/>
          <w:szCs w:val="19"/>
          <w:lang w:val="es-ES"/>
        </w:rPr>
      </w:pPr>
    </w:p>
    <w:p w14:paraId="46DBEF5A" w14:textId="77777777" w:rsidR="00D063B7" w:rsidRPr="002A5015" w:rsidRDefault="00D063B7">
      <w:pPr>
        <w:spacing w:line="240" w:lineRule="exact"/>
        <w:rPr>
          <w:sz w:val="19"/>
          <w:szCs w:val="19"/>
          <w:lang w:val="es-ES"/>
        </w:rPr>
      </w:pPr>
    </w:p>
    <w:p w14:paraId="7E7A282F" w14:textId="77777777" w:rsidR="00D063B7" w:rsidRPr="002A5015" w:rsidRDefault="00D063B7">
      <w:pPr>
        <w:spacing w:line="240" w:lineRule="exact"/>
        <w:rPr>
          <w:sz w:val="19"/>
          <w:szCs w:val="19"/>
          <w:lang w:val="es-ES"/>
        </w:rPr>
      </w:pPr>
    </w:p>
    <w:p w14:paraId="2F6480C5" w14:textId="77777777" w:rsidR="00D063B7" w:rsidRPr="002A5015" w:rsidRDefault="00D063B7">
      <w:pPr>
        <w:spacing w:line="240" w:lineRule="exact"/>
        <w:rPr>
          <w:sz w:val="19"/>
          <w:szCs w:val="19"/>
          <w:lang w:val="es-ES"/>
        </w:rPr>
      </w:pPr>
    </w:p>
    <w:p w14:paraId="3DACDC69" w14:textId="77777777" w:rsidR="00D063B7" w:rsidRPr="002A5015" w:rsidRDefault="00D063B7">
      <w:pPr>
        <w:spacing w:line="240" w:lineRule="exact"/>
        <w:rPr>
          <w:sz w:val="19"/>
          <w:szCs w:val="19"/>
          <w:lang w:val="es-ES"/>
        </w:rPr>
      </w:pPr>
    </w:p>
    <w:p w14:paraId="2B906FA1" w14:textId="77777777" w:rsidR="00D063B7" w:rsidRPr="002A5015" w:rsidRDefault="00D063B7">
      <w:pPr>
        <w:spacing w:line="240" w:lineRule="exact"/>
        <w:rPr>
          <w:sz w:val="19"/>
          <w:szCs w:val="19"/>
          <w:lang w:val="es-ES"/>
        </w:rPr>
      </w:pPr>
    </w:p>
    <w:p w14:paraId="5F1731E7" w14:textId="77777777" w:rsidR="00D063B7" w:rsidRPr="002A5015" w:rsidRDefault="00D063B7">
      <w:pPr>
        <w:spacing w:line="240" w:lineRule="exact"/>
        <w:rPr>
          <w:sz w:val="19"/>
          <w:szCs w:val="19"/>
          <w:lang w:val="es-ES"/>
        </w:rPr>
      </w:pPr>
    </w:p>
    <w:p w14:paraId="17E25086" w14:textId="77777777" w:rsidR="00D063B7" w:rsidRPr="002A5015" w:rsidRDefault="00D063B7">
      <w:pPr>
        <w:spacing w:before="99" w:after="99" w:line="240" w:lineRule="exact"/>
        <w:rPr>
          <w:sz w:val="19"/>
          <w:szCs w:val="19"/>
          <w:lang w:val="es-ES"/>
        </w:rPr>
      </w:pPr>
    </w:p>
    <w:p w14:paraId="6037E3D8" w14:textId="77777777" w:rsidR="00D063B7" w:rsidRPr="002A5015" w:rsidRDefault="00D063B7">
      <w:pPr>
        <w:rPr>
          <w:sz w:val="2"/>
          <w:szCs w:val="2"/>
          <w:lang w:val="es-ES"/>
        </w:rPr>
        <w:sectPr w:rsidR="00D063B7" w:rsidRPr="002A5015">
          <w:type w:val="continuous"/>
          <w:pgSz w:w="11900" w:h="16840"/>
          <w:pgMar w:top="744" w:right="0" w:bottom="744" w:left="0" w:header="0" w:footer="3" w:gutter="0"/>
          <w:cols w:space="720"/>
          <w:noEndnote/>
          <w:docGrid w:linePitch="360"/>
        </w:sectPr>
      </w:pPr>
    </w:p>
    <w:p w14:paraId="5B2CB407" w14:textId="0E04F532" w:rsidR="00D063B7" w:rsidRPr="002A5015" w:rsidRDefault="0030746D">
      <w:pPr>
        <w:spacing w:line="360" w:lineRule="exact"/>
        <w:rPr>
          <w:lang w:val="es-ES"/>
        </w:rPr>
      </w:pPr>
      <w:r>
        <w:rPr>
          <w:noProof/>
          <w:lang w:val="es-ES"/>
        </w:rPr>
        <w:drawing>
          <wp:anchor distT="0" distB="0" distL="63500" distR="63500" simplePos="0" relativeHeight="251657216" behindDoc="1" locked="0" layoutInCell="1" allowOverlap="1" wp14:anchorId="6C75B9A0" wp14:editId="664C0912">
            <wp:simplePos x="0" y="0"/>
            <wp:positionH relativeFrom="margin">
              <wp:posOffset>7620</wp:posOffset>
            </wp:positionH>
            <wp:positionV relativeFrom="paragraph">
              <wp:posOffset>0</wp:posOffset>
            </wp:positionV>
            <wp:extent cx="1042670" cy="62801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2670" cy="628015"/>
                    </a:xfrm>
                    <a:prstGeom prst="rect">
                      <a:avLst/>
                    </a:prstGeom>
                    <a:noFill/>
                  </pic:spPr>
                </pic:pic>
              </a:graphicData>
            </a:graphic>
            <wp14:sizeRelH relativeFrom="page">
              <wp14:pctWidth>0</wp14:pctWidth>
            </wp14:sizeRelH>
            <wp14:sizeRelV relativeFrom="page">
              <wp14:pctHeight>0</wp14:pctHeight>
            </wp14:sizeRelV>
          </wp:anchor>
        </w:drawing>
      </w:r>
    </w:p>
    <w:p w14:paraId="5D035339" w14:textId="77777777" w:rsidR="00D063B7" w:rsidRPr="002A5015" w:rsidRDefault="00D063B7">
      <w:pPr>
        <w:spacing w:line="621" w:lineRule="exact"/>
        <w:rPr>
          <w:lang w:val="es-ES"/>
        </w:rPr>
      </w:pPr>
    </w:p>
    <w:p w14:paraId="639C9403" w14:textId="77777777" w:rsidR="00D063B7" w:rsidRPr="002A5015" w:rsidRDefault="00D063B7">
      <w:pPr>
        <w:rPr>
          <w:sz w:val="2"/>
          <w:szCs w:val="2"/>
          <w:lang w:val="es-ES"/>
        </w:rPr>
        <w:sectPr w:rsidR="00D063B7" w:rsidRPr="002A5015">
          <w:type w:val="continuous"/>
          <w:pgSz w:w="11900" w:h="16840"/>
          <w:pgMar w:top="744" w:right="854" w:bottom="744" w:left="558" w:header="0" w:footer="3" w:gutter="0"/>
          <w:cols w:space="720"/>
          <w:noEndnote/>
          <w:docGrid w:linePitch="360"/>
        </w:sectPr>
      </w:pPr>
    </w:p>
    <w:p w14:paraId="1E54BC40" w14:textId="0A330132" w:rsidR="00D063B7" w:rsidRPr="002A5015" w:rsidRDefault="0089496D">
      <w:pPr>
        <w:rPr>
          <w:sz w:val="2"/>
          <w:szCs w:val="2"/>
          <w:lang w:val="es-ES"/>
        </w:rPr>
      </w:pPr>
      <w:r w:rsidRPr="002A5015">
        <w:rPr>
          <w:noProof/>
          <w:sz w:val="2"/>
          <w:szCs w:val="2"/>
          <w:lang w:val="es-ES"/>
        </w:rPr>
        <w:lastRenderedPageBreak/>
        <w:drawing>
          <wp:inline distT="0" distB="0" distL="0" distR="0" wp14:anchorId="61C19DC6" wp14:editId="5BCEA120">
            <wp:extent cx="990686" cy="723963"/>
            <wp:effectExtent l="0" t="0" r="0" b="0"/>
            <wp:docPr id="17220625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62509" name=""/>
                    <pic:cNvPicPr/>
                  </pic:nvPicPr>
                  <pic:blipFill>
                    <a:blip r:embed="rId17"/>
                    <a:stretch>
                      <a:fillRect/>
                    </a:stretch>
                  </pic:blipFill>
                  <pic:spPr>
                    <a:xfrm>
                      <a:off x="0" y="0"/>
                      <a:ext cx="990686" cy="723963"/>
                    </a:xfrm>
                    <a:prstGeom prst="rect">
                      <a:avLst/>
                    </a:prstGeom>
                  </pic:spPr>
                </pic:pic>
              </a:graphicData>
            </a:graphic>
          </wp:inline>
        </w:drawing>
      </w:r>
    </w:p>
    <w:p w14:paraId="33C6A0B1" w14:textId="7229563D" w:rsidR="00D063B7" w:rsidRPr="002A5015" w:rsidRDefault="00D02653">
      <w:pPr>
        <w:pStyle w:val="Bodytext30"/>
        <w:shd w:val="clear" w:color="auto" w:fill="auto"/>
        <w:spacing w:before="850" w:after="214" w:line="180" w:lineRule="exact"/>
        <w:rPr>
          <w:b w:val="0"/>
          <w:bCs w:val="0"/>
          <w:lang w:val="es-ES"/>
        </w:rPr>
      </w:pPr>
      <w:r w:rsidRPr="002A5015">
        <w:rPr>
          <w:b w:val="0"/>
          <w:bCs w:val="0"/>
          <w:lang w:val="es-ES"/>
        </w:rPr>
        <w:t xml:space="preserve">© Farrer &amp; Co LLP 2024. </w:t>
      </w:r>
      <w:r w:rsidR="004C67A7">
        <w:rPr>
          <w:b w:val="0"/>
          <w:bCs w:val="0"/>
          <w:lang w:val="es-ES"/>
        </w:rPr>
        <w:t>Todos los derechos reservados.</w:t>
      </w:r>
    </w:p>
    <w:p w14:paraId="660F7E0A" w14:textId="41DBD898" w:rsidR="00D063B7" w:rsidRPr="002A5015" w:rsidRDefault="002A5015">
      <w:pPr>
        <w:pStyle w:val="Bodytext30"/>
        <w:shd w:val="clear" w:color="auto" w:fill="auto"/>
        <w:spacing w:before="0" w:after="0" w:line="180" w:lineRule="exact"/>
        <w:rPr>
          <w:b w:val="0"/>
          <w:bCs w:val="0"/>
          <w:lang w:val="es-ES"/>
        </w:rPr>
      </w:pPr>
      <w:r w:rsidRPr="002A5015">
        <w:rPr>
          <w:b w:val="0"/>
          <w:bCs w:val="0"/>
          <w:lang w:val="es-ES"/>
        </w:rPr>
        <w:t>Farrer &amp; Co LLP está habilitada y regulada por la Solicitors Regulation Authority (número de identificación: 447822).</w:t>
      </w:r>
    </w:p>
    <w:sectPr w:rsidR="00D063B7" w:rsidRPr="002A5015">
      <w:pgSz w:w="11900" w:h="16840"/>
      <w:pgMar w:top="993" w:right="3065" w:bottom="993" w:left="5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00322" w14:textId="77777777" w:rsidR="00022E15" w:rsidRDefault="00022E15">
      <w:r>
        <w:separator/>
      </w:r>
    </w:p>
  </w:endnote>
  <w:endnote w:type="continuationSeparator" w:id="0">
    <w:p w14:paraId="02391028" w14:textId="77777777" w:rsidR="00022E15" w:rsidRDefault="0002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8C586" w14:textId="77777777" w:rsidR="00022E15" w:rsidRDefault="00022E15"/>
  </w:footnote>
  <w:footnote w:type="continuationSeparator" w:id="0">
    <w:p w14:paraId="3E1C34C7" w14:textId="77777777" w:rsidR="00022E15" w:rsidRDefault="00022E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023B8"/>
    <w:multiLevelType w:val="multilevel"/>
    <w:tmpl w:val="03A889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8174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B7"/>
    <w:rsid w:val="0001621B"/>
    <w:rsid w:val="00022E15"/>
    <w:rsid w:val="00034668"/>
    <w:rsid w:val="00055998"/>
    <w:rsid w:val="000652C4"/>
    <w:rsid w:val="000D0772"/>
    <w:rsid w:val="001306E6"/>
    <w:rsid w:val="00134B8B"/>
    <w:rsid w:val="00137CE2"/>
    <w:rsid w:val="00150153"/>
    <w:rsid w:val="00157E8B"/>
    <w:rsid w:val="001E7D56"/>
    <w:rsid w:val="00267B49"/>
    <w:rsid w:val="002A5015"/>
    <w:rsid w:val="002B68B9"/>
    <w:rsid w:val="002C641E"/>
    <w:rsid w:val="002D5D5E"/>
    <w:rsid w:val="0030746D"/>
    <w:rsid w:val="0032318A"/>
    <w:rsid w:val="00337024"/>
    <w:rsid w:val="00352C20"/>
    <w:rsid w:val="00396453"/>
    <w:rsid w:val="003A24BD"/>
    <w:rsid w:val="004110D1"/>
    <w:rsid w:val="004778F3"/>
    <w:rsid w:val="00495B82"/>
    <w:rsid w:val="004A6353"/>
    <w:rsid w:val="004C67A7"/>
    <w:rsid w:val="00523F90"/>
    <w:rsid w:val="0057005E"/>
    <w:rsid w:val="005B5CA6"/>
    <w:rsid w:val="005D5D04"/>
    <w:rsid w:val="005F431A"/>
    <w:rsid w:val="00606F3B"/>
    <w:rsid w:val="0068297C"/>
    <w:rsid w:val="006B3683"/>
    <w:rsid w:val="007B68C2"/>
    <w:rsid w:val="007C3438"/>
    <w:rsid w:val="007D247E"/>
    <w:rsid w:val="007D5557"/>
    <w:rsid w:val="00803C78"/>
    <w:rsid w:val="00815263"/>
    <w:rsid w:val="00857D4A"/>
    <w:rsid w:val="00890EE8"/>
    <w:rsid w:val="0089496D"/>
    <w:rsid w:val="00970EE6"/>
    <w:rsid w:val="009720E9"/>
    <w:rsid w:val="00984068"/>
    <w:rsid w:val="009971C7"/>
    <w:rsid w:val="009F6743"/>
    <w:rsid w:val="00A25A7F"/>
    <w:rsid w:val="00A90CFA"/>
    <w:rsid w:val="00B657F8"/>
    <w:rsid w:val="00B70374"/>
    <w:rsid w:val="00C0600C"/>
    <w:rsid w:val="00C85936"/>
    <w:rsid w:val="00D02653"/>
    <w:rsid w:val="00D063B7"/>
    <w:rsid w:val="00D44BC4"/>
    <w:rsid w:val="00EB186E"/>
    <w:rsid w:val="00ED70A2"/>
    <w:rsid w:val="00F335DF"/>
    <w:rsid w:val="00F44CFB"/>
    <w:rsid w:val="00F64D36"/>
    <w:rsid w:val="00F71014"/>
    <w:rsid w:val="00FA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C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Segoe UI" w:eastAsia="Segoe UI" w:hAnsi="Segoe UI" w:cs="Segoe UI"/>
      <w:b w:val="0"/>
      <w:bCs w:val="0"/>
      <w:i w:val="0"/>
      <w:iCs w:val="0"/>
      <w:smallCaps w:val="0"/>
      <w:strike w:val="0"/>
      <w:sz w:val="38"/>
      <w:szCs w:val="38"/>
      <w:u w:val="none"/>
    </w:rPr>
  </w:style>
  <w:style w:type="character" w:customStyle="1" w:styleId="Heading11">
    <w:name w:val="Heading #1"/>
    <w:basedOn w:val="Heading1"/>
    <w:rPr>
      <w:rFonts w:ascii="Segoe UI" w:eastAsia="Segoe UI" w:hAnsi="Segoe UI" w:cs="Segoe UI"/>
      <w:b w:val="0"/>
      <w:bCs w:val="0"/>
      <w:i w:val="0"/>
      <w:iCs w:val="0"/>
      <w:smallCaps w:val="0"/>
      <w:strike w:val="0"/>
      <w:color w:val="000000"/>
      <w:spacing w:val="0"/>
      <w:w w:val="100"/>
      <w:position w:val="0"/>
      <w:sz w:val="38"/>
      <w:szCs w:val="38"/>
      <w:u w:val="none"/>
      <w:lang w:val="en-US" w:eastAsia="en-US" w:bidi="en-US"/>
    </w:rPr>
  </w:style>
  <w:style w:type="character" w:customStyle="1" w:styleId="Bodytext3">
    <w:name w:val="Body text (3)_"/>
    <w:basedOn w:val="DefaultParagraphFont"/>
    <w:link w:val="Bodytext30"/>
    <w:rPr>
      <w:rFonts w:ascii="Arial" w:eastAsia="Arial" w:hAnsi="Arial" w:cs="Arial"/>
      <w:b/>
      <w:bCs/>
      <w:i w:val="0"/>
      <w:iCs w:val="0"/>
      <w:smallCaps w:val="0"/>
      <w:strike w:val="0"/>
      <w:sz w:val="18"/>
      <w:szCs w:val="18"/>
      <w:u w:val="none"/>
    </w:rPr>
  </w:style>
  <w:style w:type="character" w:customStyle="1" w:styleId="Bodytext31">
    <w:name w:val="Body text (3)"/>
    <w:basedOn w:val="Bodytext3"/>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8"/>
      <w:szCs w:val="28"/>
      <w:u w:val="none"/>
    </w:rPr>
  </w:style>
  <w:style w:type="character" w:customStyle="1" w:styleId="Bodytext41">
    <w:name w:val="Body text (4)"/>
    <w:basedOn w:val="Bodytext4"/>
    <w:rPr>
      <w:rFonts w:ascii="Arial" w:eastAsia="Arial" w:hAnsi="Arial" w:cs="Arial"/>
      <w:b w:val="0"/>
      <w:bCs w:val="0"/>
      <w:i w:val="0"/>
      <w:iCs w:val="0"/>
      <w:smallCaps w:val="0"/>
      <w:strike w:val="0"/>
      <w:color w:val="000000"/>
      <w:spacing w:val="0"/>
      <w:w w:val="100"/>
      <w:position w:val="0"/>
      <w:sz w:val="28"/>
      <w:szCs w:val="28"/>
      <w:u w:val="none"/>
      <w:lang w:val="en-US" w:eastAsia="en-US" w:bidi="en-US"/>
    </w:rPr>
  </w:style>
  <w:style w:type="character" w:customStyle="1" w:styleId="Picturecaption">
    <w:name w:val="Picture caption_"/>
    <w:basedOn w:val="DefaultParagraphFont"/>
    <w:link w:val="Picturecaption0"/>
    <w:rPr>
      <w:rFonts w:ascii="Arial" w:eastAsia="Arial" w:hAnsi="Arial" w:cs="Arial"/>
      <w:b/>
      <w:bCs/>
      <w:i w:val="0"/>
      <w:iCs w:val="0"/>
      <w:smallCaps w:val="0"/>
      <w:strike w:val="0"/>
      <w:sz w:val="18"/>
      <w:szCs w:val="18"/>
      <w:u w:val="none"/>
    </w:rPr>
  </w:style>
  <w:style w:type="character" w:customStyle="1" w:styleId="Picturecaption1">
    <w:name w:val="Picture caption"/>
    <w:basedOn w:val="Picturecaption"/>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32"/>
      <w:szCs w:val="32"/>
      <w:u w:val="none"/>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32"/>
      <w:szCs w:val="32"/>
      <w:u w:val="non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Heading3">
    <w:name w:val="Heading #3_"/>
    <w:basedOn w:val="DefaultParagraphFont"/>
    <w:link w:val="Heading30"/>
    <w:rPr>
      <w:rFonts w:ascii="Arial" w:eastAsia="Arial" w:hAnsi="Arial" w:cs="Arial"/>
      <w:b/>
      <w:bCs/>
      <w:i w:val="0"/>
      <w:iCs w:val="0"/>
      <w:smallCaps w:val="0"/>
      <w:strike w:val="0"/>
      <w:sz w:val="21"/>
      <w:szCs w:val="21"/>
      <w:u w:val="none"/>
    </w:rPr>
  </w:style>
  <w:style w:type="character" w:customStyle="1" w:styleId="Heading31">
    <w:name w:val="Heading #3"/>
    <w:basedOn w:val="Heading3"/>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basedOn w:val="DefaultParagraphFont"/>
    <w:link w:val="Bodytext50"/>
    <w:rPr>
      <w:rFonts w:ascii="Arial" w:eastAsia="Arial" w:hAnsi="Arial" w:cs="Arial"/>
      <w:b/>
      <w:bCs/>
      <w:i w:val="0"/>
      <w:iCs w:val="0"/>
      <w:smallCaps w:val="0"/>
      <w:strike w:val="0"/>
      <w:spacing w:val="0"/>
      <w:sz w:val="16"/>
      <w:szCs w:val="16"/>
      <w:u w:val="none"/>
    </w:rPr>
  </w:style>
  <w:style w:type="character" w:customStyle="1" w:styleId="Bodytext51">
    <w:name w:val="Body text (5)"/>
    <w:basedOn w:val="Bodytext5"/>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Heading32">
    <w:name w:val="Heading #3"/>
    <w:basedOn w:val="Heading3"/>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23">
    <w:name w:val="Body text (2)"/>
    <w:basedOn w:val="Body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Bodytext29pt">
    <w:name w:val="Body text (2) + 9 pt"/>
    <w:aliases w:val="Bold"/>
    <w:basedOn w:val="Bodytext2"/>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Bodytext29pt0">
    <w:name w:val="Body text (2) + 9 pt"/>
    <w:aliases w:val="Bold"/>
    <w:basedOn w:val="Bodytext2"/>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Picturecaption2">
    <w:name w:val="Picture caption (2)_"/>
    <w:basedOn w:val="DefaultParagraphFont"/>
    <w:link w:val="Picturecaption20"/>
    <w:rPr>
      <w:rFonts w:ascii="Arial" w:eastAsia="Arial" w:hAnsi="Arial" w:cs="Arial"/>
      <w:b/>
      <w:bCs/>
      <w:i w:val="0"/>
      <w:iCs w:val="0"/>
      <w:smallCaps w:val="0"/>
      <w:strike w:val="0"/>
      <w:sz w:val="22"/>
      <w:szCs w:val="22"/>
      <w:u w:val="none"/>
    </w:rPr>
  </w:style>
  <w:style w:type="paragraph" w:customStyle="1" w:styleId="Heading10">
    <w:name w:val="Heading #1"/>
    <w:basedOn w:val="Normal"/>
    <w:link w:val="Heading1"/>
    <w:pPr>
      <w:shd w:val="clear" w:color="auto" w:fill="FFFFFF"/>
      <w:spacing w:after="1140" w:line="0" w:lineRule="atLeast"/>
      <w:outlineLvl w:val="0"/>
    </w:pPr>
    <w:rPr>
      <w:rFonts w:ascii="Segoe UI" w:eastAsia="Segoe UI" w:hAnsi="Segoe UI" w:cs="Segoe UI"/>
      <w:sz w:val="38"/>
      <w:szCs w:val="38"/>
    </w:rPr>
  </w:style>
  <w:style w:type="paragraph" w:customStyle="1" w:styleId="Bodytext30">
    <w:name w:val="Body text (3)"/>
    <w:basedOn w:val="Normal"/>
    <w:link w:val="Bodytext3"/>
    <w:pPr>
      <w:shd w:val="clear" w:color="auto" w:fill="FFFFFF"/>
      <w:spacing w:before="1140" w:after="240" w:line="0" w:lineRule="atLeast"/>
    </w:pPr>
    <w:rPr>
      <w:rFonts w:ascii="Arial" w:eastAsia="Arial" w:hAnsi="Arial" w:cs="Arial"/>
      <w:b/>
      <w:bCs/>
      <w:sz w:val="18"/>
      <w:szCs w:val="18"/>
    </w:rPr>
  </w:style>
  <w:style w:type="paragraph" w:customStyle="1" w:styleId="Bodytext40">
    <w:name w:val="Body text (4)"/>
    <w:basedOn w:val="Normal"/>
    <w:link w:val="Bodytext4"/>
    <w:pPr>
      <w:shd w:val="clear" w:color="auto" w:fill="FFFFFF"/>
      <w:spacing w:before="240" w:after="420" w:line="0" w:lineRule="atLeast"/>
    </w:pPr>
    <w:rPr>
      <w:rFonts w:ascii="Arial" w:eastAsia="Arial" w:hAnsi="Arial" w:cs="Arial"/>
      <w:sz w:val="28"/>
      <w:szCs w:val="28"/>
    </w:rPr>
  </w:style>
  <w:style w:type="paragraph" w:customStyle="1" w:styleId="Picturecaption0">
    <w:name w:val="Picture caption"/>
    <w:basedOn w:val="Normal"/>
    <w:link w:val="Picturecaption"/>
    <w:pPr>
      <w:shd w:val="clear" w:color="auto" w:fill="FFFFFF"/>
      <w:spacing w:line="0" w:lineRule="atLeast"/>
    </w:pPr>
    <w:rPr>
      <w:rFonts w:ascii="Arial" w:eastAsia="Arial" w:hAnsi="Arial" w:cs="Arial"/>
      <w:b/>
      <w:bCs/>
      <w:sz w:val="18"/>
      <w:szCs w:val="18"/>
    </w:rPr>
  </w:style>
  <w:style w:type="paragraph" w:customStyle="1" w:styleId="Bodytext20">
    <w:name w:val="Body text (2)"/>
    <w:basedOn w:val="Normal"/>
    <w:link w:val="Bodytext2"/>
    <w:pPr>
      <w:shd w:val="clear" w:color="auto" w:fill="FFFFFF"/>
      <w:spacing w:before="420" w:after="420" w:line="322" w:lineRule="exact"/>
      <w:ind w:hanging="300"/>
    </w:pPr>
    <w:rPr>
      <w:rFonts w:ascii="Arial" w:eastAsia="Arial" w:hAnsi="Arial" w:cs="Arial"/>
      <w:sz w:val="22"/>
      <w:szCs w:val="22"/>
    </w:rPr>
  </w:style>
  <w:style w:type="paragraph" w:customStyle="1" w:styleId="Heading20">
    <w:name w:val="Heading #2"/>
    <w:basedOn w:val="Normal"/>
    <w:link w:val="Heading2"/>
    <w:pPr>
      <w:shd w:val="clear" w:color="auto" w:fill="FFFFFF"/>
      <w:spacing w:before="420" w:after="240" w:line="0" w:lineRule="atLeast"/>
      <w:outlineLvl w:val="1"/>
    </w:pPr>
    <w:rPr>
      <w:rFonts w:ascii="Arial" w:eastAsia="Arial" w:hAnsi="Arial" w:cs="Arial"/>
      <w:b/>
      <w:bCs/>
      <w:sz w:val="32"/>
      <w:szCs w:val="32"/>
    </w:rPr>
  </w:style>
  <w:style w:type="paragraph" w:customStyle="1" w:styleId="Heading30">
    <w:name w:val="Heading #3"/>
    <w:basedOn w:val="Normal"/>
    <w:link w:val="Heading3"/>
    <w:pPr>
      <w:shd w:val="clear" w:color="auto" w:fill="FFFFFF"/>
      <w:spacing w:before="360" w:after="240" w:line="0" w:lineRule="atLeast"/>
      <w:outlineLvl w:val="2"/>
    </w:pPr>
    <w:rPr>
      <w:rFonts w:ascii="Arial" w:eastAsia="Arial" w:hAnsi="Arial" w:cs="Arial"/>
      <w:b/>
      <w:bCs/>
      <w:sz w:val="21"/>
      <w:szCs w:val="21"/>
    </w:rPr>
  </w:style>
  <w:style w:type="paragraph" w:customStyle="1" w:styleId="Bodytext50">
    <w:name w:val="Body text (5)"/>
    <w:basedOn w:val="Normal"/>
    <w:link w:val="Bodytext5"/>
    <w:pPr>
      <w:shd w:val="clear" w:color="auto" w:fill="FFFFFF"/>
      <w:spacing w:before="540" w:line="0" w:lineRule="atLeast"/>
      <w:jc w:val="center"/>
    </w:pPr>
    <w:rPr>
      <w:rFonts w:ascii="Arial" w:eastAsia="Arial" w:hAnsi="Arial" w:cs="Arial"/>
      <w:b/>
      <w:bCs/>
      <w:sz w:val="16"/>
      <w:szCs w:val="16"/>
    </w:rPr>
  </w:style>
  <w:style w:type="paragraph" w:customStyle="1" w:styleId="Picturecaption20">
    <w:name w:val="Picture caption (2)"/>
    <w:basedOn w:val="Normal"/>
    <w:link w:val="Picturecaption2"/>
    <w:pPr>
      <w:shd w:val="clear" w:color="auto" w:fill="FFFFFF"/>
      <w:spacing w:line="0" w:lineRule="atLeast"/>
    </w:pPr>
    <w:rPr>
      <w:rFonts w:ascii="Arial" w:eastAsia="Arial" w:hAnsi="Arial" w:cs="Arial"/>
      <w:b/>
      <w:bCs/>
      <w:sz w:val="22"/>
      <w:szCs w:val="22"/>
    </w:rPr>
  </w:style>
  <w:style w:type="paragraph" w:styleId="Header">
    <w:name w:val="header"/>
    <w:basedOn w:val="Normal"/>
    <w:link w:val="HeaderChar"/>
    <w:uiPriority w:val="99"/>
    <w:unhideWhenUsed/>
    <w:rsid w:val="00D02653"/>
    <w:pPr>
      <w:tabs>
        <w:tab w:val="center" w:pos="4513"/>
        <w:tab w:val="right" w:pos="9026"/>
      </w:tabs>
    </w:pPr>
  </w:style>
  <w:style w:type="character" w:customStyle="1" w:styleId="HeaderChar">
    <w:name w:val="Header Char"/>
    <w:basedOn w:val="DefaultParagraphFont"/>
    <w:link w:val="Header"/>
    <w:uiPriority w:val="99"/>
    <w:rsid w:val="00D02653"/>
    <w:rPr>
      <w:color w:val="000000"/>
    </w:rPr>
  </w:style>
  <w:style w:type="paragraph" w:styleId="Footer">
    <w:name w:val="footer"/>
    <w:basedOn w:val="Normal"/>
    <w:link w:val="FooterChar"/>
    <w:uiPriority w:val="99"/>
    <w:unhideWhenUsed/>
    <w:rsid w:val="00D02653"/>
    <w:pPr>
      <w:tabs>
        <w:tab w:val="center" w:pos="4513"/>
        <w:tab w:val="right" w:pos="9026"/>
      </w:tabs>
    </w:pPr>
  </w:style>
  <w:style w:type="character" w:customStyle="1" w:styleId="FooterChar">
    <w:name w:val="Footer Char"/>
    <w:basedOn w:val="DefaultParagraphFont"/>
    <w:link w:val="Footer"/>
    <w:uiPriority w:val="99"/>
    <w:rsid w:val="00D02653"/>
    <w:rPr>
      <w:color w:val="000000"/>
    </w:rPr>
  </w:style>
  <w:style w:type="character" w:styleId="UnresolvedMention">
    <w:name w:val="Unresolved Mention"/>
    <w:basedOn w:val="DefaultParagraphFont"/>
    <w:uiPriority w:val="99"/>
    <w:semiHidden/>
    <w:unhideWhenUsed/>
    <w:rsid w:val="00307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676284">
      <w:bodyDiv w:val="1"/>
      <w:marLeft w:val="0"/>
      <w:marRight w:val="0"/>
      <w:marTop w:val="0"/>
      <w:marBottom w:val="0"/>
      <w:divBdr>
        <w:top w:val="none" w:sz="0" w:space="0" w:color="auto"/>
        <w:left w:val="none" w:sz="0" w:space="0" w:color="auto"/>
        <w:bottom w:val="none" w:sz="0" w:space="0" w:color="auto"/>
        <w:right w:val="none" w:sz="0" w:space="0" w:color="auto"/>
      </w:divBdr>
      <w:divsChild>
        <w:div w:id="556017250">
          <w:marLeft w:val="0"/>
          <w:marRight w:val="0"/>
          <w:marTop w:val="0"/>
          <w:marBottom w:val="0"/>
          <w:divBdr>
            <w:top w:val="none" w:sz="0" w:space="0" w:color="auto"/>
            <w:left w:val="none" w:sz="0" w:space="0" w:color="auto"/>
            <w:bottom w:val="none" w:sz="0" w:space="0" w:color="auto"/>
            <w:right w:val="none" w:sz="0" w:space="0" w:color="auto"/>
          </w:divBdr>
          <w:divsChild>
            <w:div w:id="633873395">
              <w:marLeft w:val="0"/>
              <w:marRight w:val="0"/>
              <w:marTop w:val="0"/>
              <w:marBottom w:val="0"/>
              <w:divBdr>
                <w:top w:val="none" w:sz="0" w:space="0" w:color="auto"/>
                <w:left w:val="none" w:sz="0" w:space="0" w:color="auto"/>
                <w:bottom w:val="none" w:sz="0" w:space="0" w:color="auto"/>
                <w:right w:val="none" w:sz="0" w:space="0" w:color="auto"/>
              </w:divBdr>
              <w:divsChild>
                <w:div w:id="658656386">
                  <w:marLeft w:val="0"/>
                  <w:marRight w:val="0"/>
                  <w:marTop w:val="0"/>
                  <w:marBottom w:val="0"/>
                  <w:divBdr>
                    <w:top w:val="none" w:sz="0" w:space="0" w:color="auto"/>
                    <w:left w:val="none" w:sz="0" w:space="0" w:color="auto"/>
                    <w:bottom w:val="none" w:sz="0" w:space="0" w:color="auto"/>
                    <w:right w:val="none" w:sz="0" w:space="0" w:color="auto"/>
                  </w:divBdr>
                  <w:divsChild>
                    <w:div w:id="1607619020">
                      <w:marLeft w:val="0"/>
                      <w:marRight w:val="0"/>
                      <w:marTop w:val="0"/>
                      <w:marBottom w:val="0"/>
                      <w:divBdr>
                        <w:top w:val="none" w:sz="0" w:space="0" w:color="auto"/>
                        <w:left w:val="none" w:sz="0" w:space="0" w:color="auto"/>
                        <w:bottom w:val="none" w:sz="0" w:space="0" w:color="auto"/>
                        <w:right w:val="none" w:sz="0" w:space="0" w:color="auto"/>
                      </w:divBdr>
                      <w:divsChild>
                        <w:div w:id="862330865">
                          <w:marLeft w:val="0"/>
                          <w:marRight w:val="0"/>
                          <w:marTop w:val="0"/>
                          <w:marBottom w:val="0"/>
                          <w:divBdr>
                            <w:top w:val="none" w:sz="0" w:space="0" w:color="auto"/>
                            <w:left w:val="none" w:sz="0" w:space="0" w:color="auto"/>
                            <w:bottom w:val="none" w:sz="0" w:space="0" w:color="auto"/>
                            <w:right w:val="none" w:sz="0" w:space="0" w:color="auto"/>
                          </w:divBdr>
                          <w:divsChild>
                            <w:div w:id="5839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869845">
      <w:bodyDiv w:val="1"/>
      <w:marLeft w:val="0"/>
      <w:marRight w:val="0"/>
      <w:marTop w:val="0"/>
      <w:marBottom w:val="0"/>
      <w:divBdr>
        <w:top w:val="none" w:sz="0" w:space="0" w:color="auto"/>
        <w:left w:val="none" w:sz="0" w:space="0" w:color="auto"/>
        <w:bottom w:val="none" w:sz="0" w:space="0" w:color="auto"/>
        <w:right w:val="none" w:sz="0" w:space="0" w:color="auto"/>
      </w:divBdr>
      <w:divsChild>
        <w:div w:id="189338189">
          <w:marLeft w:val="0"/>
          <w:marRight w:val="0"/>
          <w:marTop w:val="0"/>
          <w:marBottom w:val="0"/>
          <w:divBdr>
            <w:top w:val="none" w:sz="0" w:space="0" w:color="auto"/>
            <w:left w:val="none" w:sz="0" w:space="0" w:color="auto"/>
            <w:bottom w:val="none" w:sz="0" w:space="0" w:color="auto"/>
            <w:right w:val="none" w:sz="0" w:space="0" w:color="auto"/>
          </w:divBdr>
          <w:divsChild>
            <w:div w:id="824513514">
              <w:marLeft w:val="0"/>
              <w:marRight w:val="0"/>
              <w:marTop w:val="0"/>
              <w:marBottom w:val="0"/>
              <w:divBdr>
                <w:top w:val="none" w:sz="0" w:space="0" w:color="auto"/>
                <w:left w:val="none" w:sz="0" w:space="0" w:color="auto"/>
                <w:bottom w:val="none" w:sz="0" w:space="0" w:color="auto"/>
                <w:right w:val="none" w:sz="0" w:space="0" w:color="auto"/>
              </w:divBdr>
              <w:divsChild>
                <w:div w:id="1396275043">
                  <w:marLeft w:val="0"/>
                  <w:marRight w:val="0"/>
                  <w:marTop w:val="0"/>
                  <w:marBottom w:val="0"/>
                  <w:divBdr>
                    <w:top w:val="none" w:sz="0" w:space="0" w:color="auto"/>
                    <w:left w:val="none" w:sz="0" w:space="0" w:color="auto"/>
                    <w:bottom w:val="none" w:sz="0" w:space="0" w:color="auto"/>
                    <w:right w:val="none" w:sz="0" w:space="0" w:color="auto"/>
                  </w:divBdr>
                  <w:divsChild>
                    <w:div w:id="560675573">
                      <w:marLeft w:val="0"/>
                      <w:marRight w:val="0"/>
                      <w:marTop w:val="0"/>
                      <w:marBottom w:val="0"/>
                      <w:divBdr>
                        <w:top w:val="none" w:sz="0" w:space="0" w:color="auto"/>
                        <w:left w:val="none" w:sz="0" w:space="0" w:color="auto"/>
                        <w:bottom w:val="none" w:sz="0" w:space="0" w:color="auto"/>
                        <w:right w:val="none" w:sz="0" w:space="0" w:color="auto"/>
                      </w:divBdr>
                      <w:divsChild>
                        <w:div w:id="790712356">
                          <w:marLeft w:val="0"/>
                          <w:marRight w:val="0"/>
                          <w:marTop w:val="0"/>
                          <w:marBottom w:val="0"/>
                          <w:divBdr>
                            <w:top w:val="none" w:sz="0" w:space="0" w:color="auto"/>
                            <w:left w:val="none" w:sz="0" w:space="0" w:color="auto"/>
                            <w:bottom w:val="none" w:sz="0" w:space="0" w:color="auto"/>
                            <w:right w:val="none" w:sz="0" w:space="0" w:color="auto"/>
                          </w:divBdr>
                          <w:divsChild>
                            <w:div w:id="17014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736854">
      <w:bodyDiv w:val="1"/>
      <w:marLeft w:val="0"/>
      <w:marRight w:val="0"/>
      <w:marTop w:val="0"/>
      <w:marBottom w:val="0"/>
      <w:divBdr>
        <w:top w:val="none" w:sz="0" w:space="0" w:color="auto"/>
        <w:left w:val="none" w:sz="0" w:space="0" w:color="auto"/>
        <w:bottom w:val="none" w:sz="0" w:space="0" w:color="auto"/>
        <w:right w:val="none" w:sz="0" w:space="0" w:color="auto"/>
      </w:divBdr>
      <w:divsChild>
        <w:div w:id="1233198800">
          <w:marLeft w:val="0"/>
          <w:marRight w:val="0"/>
          <w:marTop w:val="0"/>
          <w:marBottom w:val="0"/>
          <w:divBdr>
            <w:top w:val="none" w:sz="0" w:space="0" w:color="auto"/>
            <w:left w:val="none" w:sz="0" w:space="0" w:color="auto"/>
            <w:bottom w:val="none" w:sz="0" w:space="0" w:color="auto"/>
            <w:right w:val="none" w:sz="0" w:space="0" w:color="auto"/>
          </w:divBdr>
          <w:divsChild>
            <w:div w:id="375471944">
              <w:marLeft w:val="0"/>
              <w:marRight w:val="0"/>
              <w:marTop w:val="0"/>
              <w:marBottom w:val="0"/>
              <w:divBdr>
                <w:top w:val="none" w:sz="0" w:space="0" w:color="auto"/>
                <w:left w:val="none" w:sz="0" w:space="0" w:color="auto"/>
                <w:bottom w:val="none" w:sz="0" w:space="0" w:color="auto"/>
                <w:right w:val="none" w:sz="0" w:space="0" w:color="auto"/>
              </w:divBdr>
              <w:divsChild>
                <w:div w:id="1047486525">
                  <w:marLeft w:val="0"/>
                  <w:marRight w:val="0"/>
                  <w:marTop w:val="0"/>
                  <w:marBottom w:val="0"/>
                  <w:divBdr>
                    <w:top w:val="none" w:sz="0" w:space="0" w:color="auto"/>
                    <w:left w:val="none" w:sz="0" w:space="0" w:color="auto"/>
                    <w:bottom w:val="none" w:sz="0" w:space="0" w:color="auto"/>
                    <w:right w:val="none" w:sz="0" w:space="0" w:color="auto"/>
                  </w:divBdr>
                  <w:divsChild>
                    <w:div w:id="29576899">
                      <w:marLeft w:val="0"/>
                      <w:marRight w:val="0"/>
                      <w:marTop w:val="0"/>
                      <w:marBottom w:val="0"/>
                      <w:divBdr>
                        <w:top w:val="none" w:sz="0" w:space="0" w:color="auto"/>
                        <w:left w:val="none" w:sz="0" w:space="0" w:color="auto"/>
                        <w:bottom w:val="none" w:sz="0" w:space="0" w:color="auto"/>
                        <w:right w:val="none" w:sz="0" w:space="0" w:color="auto"/>
                      </w:divBdr>
                      <w:divsChild>
                        <w:div w:id="1239360177">
                          <w:marLeft w:val="0"/>
                          <w:marRight w:val="0"/>
                          <w:marTop w:val="0"/>
                          <w:marBottom w:val="0"/>
                          <w:divBdr>
                            <w:top w:val="none" w:sz="0" w:space="0" w:color="auto"/>
                            <w:left w:val="none" w:sz="0" w:space="0" w:color="auto"/>
                            <w:bottom w:val="none" w:sz="0" w:space="0" w:color="auto"/>
                            <w:right w:val="none" w:sz="0" w:space="0" w:color="auto"/>
                          </w:divBdr>
                          <w:divsChild>
                            <w:div w:id="9678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42077">
      <w:bodyDiv w:val="1"/>
      <w:marLeft w:val="0"/>
      <w:marRight w:val="0"/>
      <w:marTop w:val="0"/>
      <w:marBottom w:val="0"/>
      <w:divBdr>
        <w:top w:val="none" w:sz="0" w:space="0" w:color="auto"/>
        <w:left w:val="none" w:sz="0" w:space="0" w:color="auto"/>
        <w:bottom w:val="none" w:sz="0" w:space="0" w:color="auto"/>
        <w:right w:val="none" w:sz="0" w:space="0" w:color="auto"/>
      </w:divBdr>
      <w:divsChild>
        <w:div w:id="1173181210">
          <w:marLeft w:val="0"/>
          <w:marRight w:val="0"/>
          <w:marTop w:val="0"/>
          <w:marBottom w:val="0"/>
          <w:divBdr>
            <w:top w:val="none" w:sz="0" w:space="0" w:color="auto"/>
            <w:left w:val="none" w:sz="0" w:space="0" w:color="auto"/>
            <w:bottom w:val="none" w:sz="0" w:space="0" w:color="auto"/>
            <w:right w:val="none" w:sz="0" w:space="0" w:color="auto"/>
          </w:divBdr>
          <w:divsChild>
            <w:div w:id="1609850728">
              <w:marLeft w:val="0"/>
              <w:marRight w:val="0"/>
              <w:marTop w:val="0"/>
              <w:marBottom w:val="0"/>
              <w:divBdr>
                <w:top w:val="none" w:sz="0" w:space="0" w:color="auto"/>
                <w:left w:val="none" w:sz="0" w:space="0" w:color="auto"/>
                <w:bottom w:val="none" w:sz="0" w:space="0" w:color="auto"/>
                <w:right w:val="none" w:sz="0" w:space="0" w:color="auto"/>
              </w:divBdr>
              <w:divsChild>
                <w:div w:id="1027678059">
                  <w:marLeft w:val="0"/>
                  <w:marRight w:val="0"/>
                  <w:marTop w:val="0"/>
                  <w:marBottom w:val="0"/>
                  <w:divBdr>
                    <w:top w:val="none" w:sz="0" w:space="0" w:color="auto"/>
                    <w:left w:val="none" w:sz="0" w:space="0" w:color="auto"/>
                    <w:bottom w:val="none" w:sz="0" w:space="0" w:color="auto"/>
                    <w:right w:val="none" w:sz="0" w:space="0" w:color="auto"/>
                  </w:divBdr>
                  <w:divsChild>
                    <w:div w:id="1149784672">
                      <w:marLeft w:val="0"/>
                      <w:marRight w:val="0"/>
                      <w:marTop w:val="0"/>
                      <w:marBottom w:val="0"/>
                      <w:divBdr>
                        <w:top w:val="none" w:sz="0" w:space="0" w:color="auto"/>
                        <w:left w:val="none" w:sz="0" w:space="0" w:color="auto"/>
                        <w:bottom w:val="none" w:sz="0" w:space="0" w:color="auto"/>
                        <w:right w:val="none" w:sz="0" w:space="0" w:color="auto"/>
                      </w:divBdr>
                      <w:divsChild>
                        <w:div w:id="1093428820">
                          <w:marLeft w:val="0"/>
                          <w:marRight w:val="0"/>
                          <w:marTop w:val="0"/>
                          <w:marBottom w:val="0"/>
                          <w:divBdr>
                            <w:top w:val="none" w:sz="0" w:space="0" w:color="auto"/>
                            <w:left w:val="none" w:sz="0" w:space="0" w:color="auto"/>
                            <w:bottom w:val="none" w:sz="0" w:space="0" w:color="auto"/>
                            <w:right w:val="none" w:sz="0" w:space="0" w:color="auto"/>
                          </w:divBdr>
                          <w:divsChild>
                            <w:div w:id="4823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81141">
      <w:bodyDiv w:val="1"/>
      <w:marLeft w:val="0"/>
      <w:marRight w:val="0"/>
      <w:marTop w:val="0"/>
      <w:marBottom w:val="0"/>
      <w:divBdr>
        <w:top w:val="none" w:sz="0" w:space="0" w:color="auto"/>
        <w:left w:val="none" w:sz="0" w:space="0" w:color="auto"/>
        <w:bottom w:val="none" w:sz="0" w:space="0" w:color="auto"/>
        <w:right w:val="none" w:sz="0" w:space="0" w:color="auto"/>
      </w:divBdr>
      <w:divsChild>
        <w:div w:id="1992514024">
          <w:marLeft w:val="0"/>
          <w:marRight w:val="0"/>
          <w:marTop w:val="0"/>
          <w:marBottom w:val="0"/>
          <w:divBdr>
            <w:top w:val="none" w:sz="0" w:space="0" w:color="auto"/>
            <w:left w:val="none" w:sz="0" w:space="0" w:color="auto"/>
            <w:bottom w:val="none" w:sz="0" w:space="0" w:color="auto"/>
            <w:right w:val="none" w:sz="0" w:space="0" w:color="auto"/>
          </w:divBdr>
          <w:divsChild>
            <w:div w:id="478693361">
              <w:marLeft w:val="0"/>
              <w:marRight w:val="0"/>
              <w:marTop w:val="0"/>
              <w:marBottom w:val="0"/>
              <w:divBdr>
                <w:top w:val="none" w:sz="0" w:space="0" w:color="auto"/>
                <w:left w:val="none" w:sz="0" w:space="0" w:color="auto"/>
                <w:bottom w:val="none" w:sz="0" w:space="0" w:color="auto"/>
                <w:right w:val="none" w:sz="0" w:space="0" w:color="auto"/>
              </w:divBdr>
              <w:divsChild>
                <w:div w:id="1216040225">
                  <w:marLeft w:val="0"/>
                  <w:marRight w:val="0"/>
                  <w:marTop w:val="0"/>
                  <w:marBottom w:val="0"/>
                  <w:divBdr>
                    <w:top w:val="none" w:sz="0" w:space="0" w:color="auto"/>
                    <w:left w:val="none" w:sz="0" w:space="0" w:color="auto"/>
                    <w:bottom w:val="none" w:sz="0" w:space="0" w:color="auto"/>
                    <w:right w:val="none" w:sz="0" w:space="0" w:color="auto"/>
                  </w:divBdr>
                  <w:divsChild>
                    <w:div w:id="1035036261">
                      <w:marLeft w:val="0"/>
                      <w:marRight w:val="0"/>
                      <w:marTop w:val="0"/>
                      <w:marBottom w:val="0"/>
                      <w:divBdr>
                        <w:top w:val="none" w:sz="0" w:space="0" w:color="auto"/>
                        <w:left w:val="none" w:sz="0" w:space="0" w:color="auto"/>
                        <w:bottom w:val="none" w:sz="0" w:space="0" w:color="auto"/>
                        <w:right w:val="none" w:sz="0" w:space="0" w:color="auto"/>
                      </w:divBdr>
                      <w:divsChild>
                        <w:div w:id="1245145570">
                          <w:marLeft w:val="0"/>
                          <w:marRight w:val="0"/>
                          <w:marTop w:val="0"/>
                          <w:marBottom w:val="0"/>
                          <w:divBdr>
                            <w:top w:val="none" w:sz="0" w:space="0" w:color="auto"/>
                            <w:left w:val="none" w:sz="0" w:space="0" w:color="auto"/>
                            <w:bottom w:val="none" w:sz="0" w:space="0" w:color="auto"/>
                            <w:right w:val="none" w:sz="0" w:space="0" w:color="auto"/>
                          </w:divBdr>
                          <w:divsChild>
                            <w:div w:id="18946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sChild>
        <w:div w:id="1178042256">
          <w:marLeft w:val="0"/>
          <w:marRight w:val="0"/>
          <w:marTop w:val="0"/>
          <w:marBottom w:val="0"/>
          <w:divBdr>
            <w:top w:val="none" w:sz="0" w:space="0" w:color="auto"/>
            <w:left w:val="none" w:sz="0" w:space="0" w:color="auto"/>
            <w:bottom w:val="none" w:sz="0" w:space="0" w:color="auto"/>
            <w:right w:val="none" w:sz="0" w:space="0" w:color="auto"/>
          </w:divBdr>
          <w:divsChild>
            <w:div w:id="382217111">
              <w:marLeft w:val="0"/>
              <w:marRight w:val="0"/>
              <w:marTop w:val="0"/>
              <w:marBottom w:val="0"/>
              <w:divBdr>
                <w:top w:val="none" w:sz="0" w:space="0" w:color="auto"/>
                <w:left w:val="none" w:sz="0" w:space="0" w:color="auto"/>
                <w:bottom w:val="none" w:sz="0" w:space="0" w:color="auto"/>
                <w:right w:val="none" w:sz="0" w:space="0" w:color="auto"/>
              </w:divBdr>
              <w:divsChild>
                <w:div w:id="1301612438">
                  <w:marLeft w:val="0"/>
                  <w:marRight w:val="0"/>
                  <w:marTop w:val="0"/>
                  <w:marBottom w:val="0"/>
                  <w:divBdr>
                    <w:top w:val="none" w:sz="0" w:space="0" w:color="auto"/>
                    <w:left w:val="none" w:sz="0" w:space="0" w:color="auto"/>
                    <w:bottom w:val="none" w:sz="0" w:space="0" w:color="auto"/>
                    <w:right w:val="none" w:sz="0" w:space="0" w:color="auto"/>
                  </w:divBdr>
                  <w:divsChild>
                    <w:div w:id="560601972">
                      <w:marLeft w:val="0"/>
                      <w:marRight w:val="0"/>
                      <w:marTop w:val="0"/>
                      <w:marBottom w:val="0"/>
                      <w:divBdr>
                        <w:top w:val="none" w:sz="0" w:space="0" w:color="auto"/>
                        <w:left w:val="none" w:sz="0" w:space="0" w:color="auto"/>
                        <w:bottom w:val="none" w:sz="0" w:space="0" w:color="auto"/>
                        <w:right w:val="none" w:sz="0" w:space="0" w:color="auto"/>
                      </w:divBdr>
                      <w:divsChild>
                        <w:div w:id="1384670459">
                          <w:marLeft w:val="0"/>
                          <w:marRight w:val="0"/>
                          <w:marTop w:val="0"/>
                          <w:marBottom w:val="0"/>
                          <w:divBdr>
                            <w:top w:val="none" w:sz="0" w:space="0" w:color="auto"/>
                            <w:left w:val="none" w:sz="0" w:space="0" w:color="auto"/>
                            <w:bottom w:val="none" w:sz="0" w:space="0" w:color="auto"/>
                            <w:right w:val="none" w:sz="0" w:space="0" w:color="auto"/>
                          </w:divBdr>
                          <w:divsChild>
                            <w:div w:id="15374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93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iries@farrer.co.uk"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ulian.pike@farrer.co.uk"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rrer.co.uk/people/julian-pike/" TargetMode="External"/><Relationship Id="rId5" Type="http://schemas.openxmlformats.org/officeDocument/2006/relationships/footnotes" Target="footnotes.xml"/><Relationship Id="rId15" Type="http://schemas.openxmlformats.org/officeDocument/2006/relationships/hyperlink" Target="mailto:oliver.lock@farrer.co.uk"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farrer.co.uk/people/oliver-loc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11374</Characters>
  <Application>Microsoft Office Word</Application>
  <DocSecurity>4</DocSecurity>
  <Lines>94</Lines>
  <Paragraphs>26</Paragraphs>
  <ScaleCrop>false</ScaleCrop>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2024-06-27T13:07:00Z</dcterms:created>
  <dcterms:modified xsi:type="dcterms:W3CDTF">2024-06-27T13:07:00Z</dcterms:modified>
</cp:coreProperties>
</file>